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7246B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-215900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-139065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694852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10.95pt;height:14.75pt;width:128.85pt;z-index:251662336;mso-width-relative:page;mso-height-relative:page;" fillcolor="#FFFFFF" filled="t" stroked="f" coordsize="21600,21600" o:gfxdata="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d8EPNcAAAAH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A694852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inline distT="0" distB="0" distL="114300" distR="114300">
                <wp:extent cx="3060065" cy="76200"/>
                <wp:effectExtent l="0" t="11430" r="6985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M2smQDW&#10;AAAABAEAAA8AAAAAAAAAAQAgAAAAIgAAAGRycy9kb3ducmV2LnhtbFBLAQIUABQAAAAIAIdO4kD4&#10;2oWqzQIAAF8IAAAOAAAAAAAAAAEAIAAAACUBAABkcnMvZTJvRG9jLnhtbFBLBQYAAAAABgAGAFkB&#10;AABkBgAAAAA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_x0000_s1026" o:spid="_x0000_s1026" o:spt="100" style="position:absolute;left:18;top:18;height:20;width:6590;" filled="f" stroked="t" coordsize="6590,20" o:gfxdata="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q57TugAAANoA&#10;AAAPAAAAAAAAAAEAIAAAACIAAABkcnMvZG93bnJldi54bWxQSwECFAAUAAAACACHTuJAMy8FnjsA&#10;AAA5AAAAEAAAAAAAAAABACAAAAAJAQAAZHJzL3NoYXBleG1sLnhtbFBLBQYAAAAABgAGAFsBAACz&#10;AwAAAAA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654F026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29944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投入式液位变送器（一体式表头）</w:t>
      </w:r>
      <w:bookmarkEnd w:id="0"/>
    </w:p>
    <w:p w14:paraId="33A7CB13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WE-T622使用说明书</w:t>
      </w:r>
    </w:p>
    <w:p w14:paraId="28AFA0AF"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66675</wp:posOffset>
            </wp:positionV>
            <wp:extent cx="1417320" cy="2364740"/>
            <wp:effectExtent l="0" t="0" r="11430" b="16510"/>
            <wp:wrapNone/>
            <wp:docPr id="9" name="图片 9" descr="C:/Users/shuttle/Desktop/T622.pngT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shuttle/Desktop/T622.pngT622"/>
                    <pic:cNvPicPr>
                      <a:picLocks noChangeAspect="1"/>
                    </pic:cNvPicPr>
                  </pic:nvPicPr>
                  <pic:blipFill>
                    <a:blip r:embed="rId39"/>
                    <a:srcRect l="28907" r="28907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BD2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</w:p>
    <w:p w14:paraId="02C79254"/>
    <w:p w14:paraId="74258EAD">
      <w:pPr>
        <w:spacing w:line="240" w:lineRule="auto"/>
      </w:pPr>
    </w:p>
    <w:p w14:paraId="7B8889C1"/>
    <w:p w14:paraId="6475F6F7"/>
    <w:p w14:paraId="0464A3FA"/>
    <w:p w14:paraId="344958B2"/>
    <w:p w14:paraId="56164076"/>
    <w:p w14:paraId="4F93E329"/>
    <w:p w14:paraId="37F85762"/>
    <w:p w14:paraId="3C486661"/>
    <w:p w14:paraId="47ECB7E0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606425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6C165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WES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T622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7.3pt;margin-top:47.75pt;height:21.65pt;width:234.8pt;z-index:251663360;mso-width-relative:page;mso-height-relative:page;" fillcolor="#FFFFFF" filled="t" stroked="f" coordsize="21600,21600" o:gfxdata="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EZE5jNcAAAAJ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B6C165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WES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T622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8C70ED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footerReference r:id="rId6" w:type="first"/>
          <w:footerReference r:id="rId5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</w:p>
    <w:p w14:paraId="52E7D261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30858"/>
      <w:bookmarkStart w:id="2" w:name="_Toc2326"/>
      <w:bookmarkStart w:id="3" w:name="_Toc12294"/>
      <w:bookmarkStart w:id="4" w:name="_Toc18067"/>
      <w:bookmarkStart w:id="5" w:name="_Toc7823"/>
      <w:bookmarkStart w:id="6" w:name="_Toc7003"/>
      <w:bookmarkStart w:id="7" w:name="_Toc2551"/>
      <w:bookmarkStart w:id="8" w:name="_Toc15930"/>
      <w:bookmarkStart w:id="9" w:name="_Toc29297"/>
      <w:bookmarkStart w:id="10" w:name="_Toc41996141"/>
      <w:bookmarkStart w:id="11" w:name="_Toc5895"/>
      <w:bookmarkStart w:id="12" w:name="_Toc11653"/>
      <w:bookmarkStart w:id="13" w:name="_Toc26903"/>
      <w:bookmarkStart w:id="14" w:name="_Toc21437"/>
      <w:bookmarkStart w:id="15" w:name="_Toc28179"/>
      <w:bookmarkStart w:id="16" w:name="_Toc5581"/>
      <w:bookmarkStart w:id="17" w:name="_Toc29143"/>
      <w:bookmarkStart w:id="18" w:name="_Toc17598"/>
      <w:bookmarkStart w:id="19" w:name="_Toc7640"/>
      <w:bookmarkStart w:id="20" w:name="_Toc12915"/>
      <w:bookmarkStart w:id="21" w:name="_Toc4151"/>
      <w:bookmarkStart w:id="22" w:name="_Toc30832"/>
      <w:bookmarkStart w:id="23" w:name="_Toc29042"/>
      <w:bookmarkStart w:id="24" w:name="_Toc3490"/>
      <w:bookmarkStart w:id="25" w:name="_Toc20964"/>
      <w:bookmarkStart w:id="26" w:name="_Toc28135"/>
      <w:bookmarkStart w:id="27" w:name="_Toc22939"/>
      <w:bookmarkStart w:id="28" w:name="_Toc10628"/>
      <w:bookmarkStart w:id="29" w:name="_Toc1699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7BB86D87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28EC5EE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9267"/>
      <w:bookmarkStart w:id="31" w:name="_Toc2799"/>
      <w:bookmarkStart w:id="32" w:name="_Toc18036"/>
      <w:bookmarkStart w:id="33" w:name="_Toc23414"/>
      <w:bookmarkStart w:id="34" w:name="_Toc1089"/>
      <w:bookmarkStart w:id="35" w:name="_Toc17441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4BD82D9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7950C62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20946"/>
      <w:bookmarkStart w:id="37" w:name="_Toc25903"/>
      <w:bookmarkStart w:id="38" w:name="_Toc6050"/>
      <w:bookmarkStart w:id="39" w:name="_Toc27948"/>
      <w:bookmarkStart w:id="40" w:name="_Toc29781"/>
      <w:bookmarkStart w:id="41" w:name="_Toc41996142"/>
      <w:bookmarkStart w:id="42" w:name="_Toc25155"/>
      <w:bookmarkStart w:id="43" w:name="_Toc3613"/>
      <w:bookmarkStart w:id="44" w:name="_Toc30640"/>
      <w:bookmarkStart w:id="45" w:name="_Toc7143"/>
      <w:bookmarkStart w:id="46" w:name="_Toc30766"/>
      <w:bookmarkStart w:id="47" w:name="_Toc8275"/>
      <w:bookmarkStart w:id="48" w:name="_Toc12883"/>
      <w:bookmarkStart w:id="49" w:name="_Toc27291"/>
      <w:bookmarkStart w:id="50" w:name="_Toc14195"/>
      <w:bookmarkStart w:id="51" w:name="_Toc15493"/>
      <w:bookmarkStart w:id="52" w:name="_Toc116"/>
      <w:bookmarkStart w:id="53" w:name="_Toc27473"/>
      <w:bookmarkStart w:id="54" w:name="_Toc13604"/>
      <w:bookmarkStart w:id="55" w:name="_Toc29248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3C71570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6181"/>
      <w:bookmarkStart w:id="57" w:name="_Toc21225"/>
      <w:bookmarkStart w:id="58" w:name="_Toc24285"/>
      <w:bookmarkStart w:id="59" w:name="_Toc19503"/>
      <w:bookmarkStart w:id="60" w:name="_Toc18559"/>
      <w:bookmarkStart w:id="61" w:name="_Toc8121"/>
      <w:bookmarkStart w:id="62" w:name="_Toc2253"/>
      <w:bookmarkStart w:id="63" w:name="_Toc29408"/>
      <w:bookmarkStart w:id="64" w:name="_Toc9947"/>
      <w:bookmarkStart w:id="65" w:name="_Toc41996143"/>
      <w:bookmarkStart w:id="66" w:name="_Toc32096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5C7666CC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53155003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0DD70643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71EC51C1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24374"/>
      <w:bookmarkStart w:id="68" w:name="_Toc5685"/>
      <w:bookmarkStart w:id="69" w:name="_Toc17019"/>
      <w:bookmarkStart w:id="70" w:name="_Toc2697"/>
      <w:bookmarkStart w:id="71" w:name="_Toc23281"/>
      <w:bookmarkStart w:id="72" w:name="_Toc10737"/>
      <w:bookmarkStart w:id="73" w:name="_Toc8382"/>
      <w:bookmarkStart w:id="74" w:name="_Toc28653"/>
      <w:bookmarkStart w:id="75" w:name="_Toc10100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625F3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WES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T622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63FCD1E5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8565"/>
      <w:bookmarkStart w:id="77" w:name="_Toc15579"/>
      <w:bookmarkStart w:id="78" w:name="_Toc24243"/>
      <w:bookmarkStart w:id="79" w:name="_Toc20359"/>
      <w:bookmarkStart w:id="80" w:name="_Toc27219"/>
      <w:bookmarkStart w:id="81" w:name="_Toc3639"/>
      <w:bookmarkStart w:id="82" w:name="_Toc7067"/>
      <w:bookmarkStart w:id="83" w:name="_Toc14420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26592C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64E2C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151B3418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29FA8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A4A2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78F2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1924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85BE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备注</w:t>
            </w:r>
          </w:p>
        </w:tc>
      </w:tr>
      <w:tr w14:paraId="0B4BA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52E0A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192A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投入式液位变送器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078E33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5CF32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61CE9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DBF3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10573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51394E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4069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0E4C0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0AFD8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C16F6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0C8311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A347A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2329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48CB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6C2E4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连接线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8C9F8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AA20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仅电源供电和RS485版本</w:t>
            </w:r>
          </w:p>
        </w:tc>
      </w:tr>
      <w:tr w14:paraId="25F1E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A6755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5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05E98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3D38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4E5C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</w:tbl>
    <w:p w14:paraId="7AA350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5BF0D7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188A8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6E0473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63237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114DF53F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17902"/>
          <w:bookmarkStart w:id="85" w:name="_Toc24272"/>
          <w:bookmarkStart w:id="86" w:name="_Toc8158"/>
          <w:bookmarkStart w:id="87" w:name="_Toc26604"/>
          <w:bookmarkStart w:id="88" w:name="_Toc16875"/>
          <w:bookmarkStart w:id="89" w:name="_Toc19467_WPSOffice_Level1"/>
          <w:bookmarkStart w:id="90" w:name="_Toc21763_WPSOffice_Level1"/>
          <w:bookmarkStart w:id="91" w:name="_Toc29456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4F6EF6D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_Toc29944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投入式液位变送器（一体式表头）</w:t>
          </w:r>
          <w:r>
            <w:tab/>
          </w:r>
          <w:r>
            <w:fldChar w:fldCharType="begin"/>
          </w:r>
          <w:r>
            <w:instrText xml:space="preserve"> PAGEREF _Toc29944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C57E0D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_Toc28179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_Toc28179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2B1435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_Toc29248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_Toc29248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5BAB2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_Toc28653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_Toc28653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DA65D6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_Toc3639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_Toc3639 \h </w:instrText>
          </w:r>
          <w:r>
            <w:fldChar w:fldCharType="separate"/>
          </w:r>
          <w:r>
            <w:t>III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3BD5D5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_Toc2963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_Toc2963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A365BF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_Toc28736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_Toc28736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2CDEEE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_Toc15274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_Toc15274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27E4BC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_Toc32268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_Toc32268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75FF79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_Toc22067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_Toc22067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63DDA0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_Toc2122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_Toc2122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B1BBB7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_Toc14603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_Toc14603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FCC61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_Toc11687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_Toc11687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2999C9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_Toc26476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_Toc26476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948CC7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_Toc11971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_Toc11971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6F90DF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_Toc2169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1BB8DF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_Toc795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接线定义</w:t>
          </w:r>
          <w:r>
            <w:tab/>
          </w:r>
          <w:r>
            <w:fldChar w:fldCharType="begin"/>
          </w:r>
          <w:r>
            <w:instrText xml:space="preserve"> PAGEREF _Toc795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1D7D29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_Toc30485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_Toc30485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85A849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_Toc15861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 w:ascii="Times New Roman" w:hAnsi="Times New Roman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示意</w:t>
          </w:r>
          <w:r>
            <w:tab/>
          </w:r>
          <w:r>
            <w:fldChar w:fldCharType="begin"/>
          </w:r>
          <w:r>
            <w:instrText xml:space="preserve"> PAGEREF _Toc15861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E7687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_Toc21915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_Toc21915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6A2688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_Toc3010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_Toc3010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64E777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_Toc27699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_Toc27699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513B2A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_Toc5024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_Toc5024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B5C7F2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_Toc3789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_Toc3789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83DEC0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_Toc9693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_Toc9693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85F118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_Toc28690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_Toc28690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B0CDF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_Toc10161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第七章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_Toc10161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78853E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_Toc12494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_Toc12494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5988A5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_Toc28028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_Toc28028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F130C3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</w:rPr>
            <w:sectPr>
              <w:footerReference r:id="rId7" w:type="default"/>
              <w:pgSz w:w="5897" w:h="8335"/>
              <w:pgMar w:top="680" w:right="567" w:bottom="680" w:left="567" w:header="397" w:footer="397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upperRoman"/>
              <w:cols w:space="0" w:num="1"/>
              <w:docGrid w:type="lines" w:linePitch="349" w:charSpace="0"/>
            </w:sect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6B96FC67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2963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7CFBCC6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28736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1CA6EFCC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bookmarkStart w:id="94" w:name="_Toc25397_WPSOffice_Level2"/>
      <w:bookmarkStart w:id="95" w:name="_Toc20995_WPSOffice_Level2"/>
      <w:bookmarkStart w:id="96" w:name="_Toc26576_WPSOffice_Level2"/>
      <w:bookmarkStart w:id="97" w:name="_Toc897_WPSOffice_Level2"/>
      <w:bookmarkStart w:id="98" w:name="_Toc31468_WPSOffice_Level2"/>
      <w:bookmarkStart w:id="99" w:name="_Toc24924_WPSOffice_Level2"/>
      <w:r>
        <w:rPr>
          <w:rFonts w:hint="eastAsia"/>
          <w:lang w:val="en-US" w:eastAsia="zh-CN"/>
        </w:rPr>
        <w:t>投入式液位变送器（一体式表头）有4款通讯方式版本，基于LoRa/4G/NB-IOT的无线通讯版本，基于RS485串行总线本地通讯版本。是集现场液位的测量、变送、上报为一体的低功耗智能仪表。投入式液位变送器采用高稳定性数字传感器，实现对现场液位实时监测计算，使用无线通讯实现远距离通讯，上传到世电科技云平台，实现现场投入式液位类物理量的实时采集、分析计算、存储、展示。</w:t>
      </w:r>
    </w:p>
    <w:p w14:paraId="245AADE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本体与探头一体式设计，针对现场被测介质，液位范围，以及安装方式等不同需求，提供多种液位量程规格的液位探头，最优匹配应用场景需求，可广泛应用于江河、水库、湖泊、灌渠、河道等自然水域水文监测场景。</w:t>
      </w:r>
    </w:p>
    <w:p w14:paraId="6224E36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0" w:name="_Toc15274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0"/>
    </w:p>
    <w:p w14:paraId="02D1D13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highlight w:val="none"/>
          <w:lang w:val="en-US" w:eastAsia="zh-CN"/>
        </w:rPr>
        <w:t>投入式液位计测量</w:t>
      </w:r>
      <w:r>
        <w:rPr>
          <w:highlight w:val="none"/>
        </w:rPr>
        <w:t>原理是基于液体的静压原理，即液体的压力与液位高度成正比。投入式液位计一般由一个传感器和一个变送器组成。传感器通过一个密封的测量室与被测介质接触，测量室通过电缆与变送器连接。当传感器在被测液体中时，传感器内部的测量室会感受到液体的压力。这个压力通过电缆传递到变送器中。变送器将感受到的压力转换成电信号，并输出液位高度</w:t>
      </w:r>
      <w:r>
        <w:rPr>
          <w:rFonts w:hint="eastAsia"/>
          <w:lang w:val="en-US" w:eastAsia="zh-CN"/>
        </w:rPr>
        <w:t>。</w:t>
      </w:r>
    </w:p>
    <w:p w14:paraId="4020ECA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1" w:name="_Toc32268"/>
      <w:r>
        <w:rPr>
          <w:rFonts w:hint="eastAsia"/>
          <w:b/>
          <w:bCs/>
          <w:lang w:val="en-US" w:eastAsia="zh-CN"/>
        </w:rPr>
        <w:t>产品特点</w:t>
      </w:r>
      <w:bookmarkEnd w:id="101"/>
    </w:p>
    <w:p w14:paraId="05A7F12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2" w:name="_Toc21411_WPSOffice_Level2"/>
      <w:bookmarkStart w:id="103" w:name="_Toc5059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726CF67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支持0</w:t>
      </w:r>
      <w:r>
        <w:rPr>
          <w:rFonts w:hint="default" w:ascii="Times New Roman" w:hAnsi="Times New Roman" w:cs="Times New Roman"/>
          <w:szCs w:val="18"/>
          <w:lang w:val="en-US" w:eastAsia="zh-CN"/>
        </w:rPr>
        <w:t>~</w:t>
      </w:r>
      <w:r>
        <w:rPr>
          <w:rFonts w:hint="eastAsia" w:cs="Times New Roman"/>
          <w:szCs w:val="18"/>
          <w:lang w:val="en-US" w:eastAsia="zh-CN"/>
        </w:rPr>
        <w:t>1.6MPa</w:t>
      </w:r>
      <w:r>
        <w:rPr>
          <w:rFonts w:hint="eastAsia" w:ascii="Times New Roman" w:hAnsi="Times New Roman" w:cs="Times New Roman"/>
          <w:szCs w:val="18"/>
          <w:lang w:val="en-US" w:eastAsia="zh-CN"/>
        </w:rPr>
        <w:t>常规</w:t>
      </w:r>
      <w:r>
        <w:rPr>
          <w:rFonts w:hint="eastAsia" w:cs="Times New Roman"/>
          <w:szCs w:val="18"/>
          <w:lang w:val="en-US" w:eastAsia="zh-CN"/>
        </w:rPr>
        <w:t>投入式液位</w:t>
      </w:r>
      <w:r>
        <w:rPr>
          <w:rFonts w:hint="eastAsia" w:ascii="Times New Roman" w:hAnsi="Times New Roman" w:cs="Times New Roman"/>
          <w:szCs w:val="18"/>
          <w:lang w:val="en-US" w:eastAsia="zh-CN"/>
        </w:rPr>
        <w:t>量程，其他量程可定制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10ADE1B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726F990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533FC9C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工作投入式液位范</w:t>
      </w:r>
      <w:r>
        <w:rPr>
          <w:rFonts w:hint="eastAsia" w:cs="Times New Roman"/>
          <w:szCs w:val="18"/>
          <w:highlight w:val="none"/>
          <w:lang w:val="en-US" w:eastAsia="zh-CN"/>
        </w:rPr>
        <w:t>围（-30~75）℃。</w:t>
      </w:r>
    </w:p>
    <w:p w14:paraId="232E06D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7E46105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支持直管、螺纹等多种安装方式。</w:t>
      </w:r>
    </w:p>
    <w:p w14:paraId="61A74FB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显示壳体可旋转约330度，且不影响性能和内部配线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2C4FA5D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346AD85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支持高清晰度显示屏，配合按键，可以现场实时查看投入式液位值、报警信息、电量、板温提示等；</w:t>
      </w:r>
    </w:p>
    <w:p w14:paraId="7C1F5C67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657A9307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24633194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titlePg/>
          <w:docGrid w:type="lines" w:linePitch="349" w:charSpace="0"/>
        </w:sectPr>
      </w:pPr>
    </w:p>
    <w:p w14:paraId="5B7B6C52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121E32E7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4" w:name="_Toc22067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4"/>
    </w:p>
    <w:p w14:paraId="4801EE37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3787"/>
      </w:tblGrid>
      <w:tr w14:paraId="6DAEB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77C919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输入</w:t>
            </w:r>
          </w:p>
        </w:tc>
      </w:tr>
      <w:tr w14:paraId="3DDE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97" w:type="pct"/>
            <w:vAlign w:val="center"/>
          </w:tcPr>
          <w:p w14:paraId="2C087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压力类型</w:t>
            </w:r>
          </w:p>
        </w:tc>
        <w:tc>
          <w:tcPr>
            <w:tcW w:w="3802" w:type="pct"/>
            <w:vAlign w:val="center"/>
          </w:tcPr>
          <w:p w14:paraId="38F2B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表压</w:t>
            </w:r>
          </w:p>
        </w:tc>
      </w:tr>
      <w:tr w14:paraId="782A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97" w:type="pct"/>
            <w:vAlign w:val="center"/>
          </w:tcPr>
          <w:p w14:paraId="1DFAA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测量变量</w:t>
            </w:r>
          </w:p>
        </w:tc>
        <w:tc>
          <w:tcPr>
            <w:tcW w:w="3802" w:type="pct"/>
            <w:vAlign w:val="center"/>
          </w:tcPr>
          <w:p w14:paraId="40327C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液位</w:t>
            </w:r>
          </w:p>
        </w:tc>
      </w:tr>
      <w:tr w14:paraId="104D7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197" w:type="pct"/>
            <w:vAlign w:val="top"/>
          </w:tcPr>
          <w:p w14:paraId="10AAC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测量范围</w:t>
            </w:r>
          </w:p>
        </w:tc>
        <w:tc>
          <w:tcPr>
            <w:tcW w:w="3802" w:type="pct"/>
            <w:vAlign w:val="top"/>
          </w:tcPr>
          <w:p w14:paraId="1DD221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Cs w:val="18"/>
                <w:lang w:val="en-US" w:eastAsia="zh-CN"/>
              </w:rPr>
              <w:t>~</w:t>
            </w:r>
            <w:r>
              <w:rPr>
                <w:rFonts w:hint="eastAsia" w:cs="Times New Roman"/>
                <w:szCs w:val="18"/>
                <w:lang w:val="en-US" w:eastAsia="zh-CN"/>
              </w:rPr>
              <w:t>5...10m</w:t>
            </w:r>
          </w:p>
        </w:tc>
      </w:tr>
      <w:tr w14:paraId="0A1F8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5C9393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性能参数</w:t>
            </w:r>
          </w:p>
        </w:tc>
      </w:tr>
      <w:tr w14:paraId="1B2C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97" w:type="pct"/>
            <w:vAlign w:val="center"/>
          </w:tcPr>
          <w:p w14:paraId="202D0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3802" w:type="pct"/>
            <w:vAlign w:val="center"/>
          </w:tcPr>
          <w:p w14:paraId="384D2B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0.5%FS</w:t>
            </w:r>
          </w:p>
        </w:tc>
      </w:tr>
      <w:tr w14:paraId="2DC0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97" w:type="pct"/>
            <w:vAlign w:val="center"/>
          </w:tcPr>
          <w:p w14:paraId="5F0484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分辨率</w:t>
            </w:r>
          </w:p>
        </w:tc>
        <w:tc>
          <w:tcPr>
            <w:tcW w:w="3802" w:type="pct"/>
            <w:vAlign w:val="center"/>
          </w:tcPr>
          <w:p w14:paraId="1DBA0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1mm</w:t>
            </w:r>
          </w:p>
        </w:tc>
      </w:tr>
      <w:tr w14:paraId="654A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restart"/>
            <w:vAlign w:val="center"/>
          </w:tcPr>
          <w:p w14:paraId="1DE39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信号传输</w:t>
            </w:r>
          </w:p>
        </w:tc>
        <w:tc>
          <w:tcPr>
            <w:tcW w:w="3802" w:type="pct"/>
            <w:vAlign w:val="center"/>
          </w:tcPr>
          <w:p w14:paraId="1692A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LoRa网络通讯</w:t>
            </w:r>
          </w:p>
          <w:p w14:paraId="7B8FC5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支持410.125~490.125MHz频段</w:t>
            </w:r>
          </w:p>
          <w:p w14:paraId="2E882B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最大22dbm发射功率，最大-147dbm接收灵敏度，空旷视距5KM信号覆盖能力</w:t>
            </w:r>
          </w:p>
        </w:tc>
      </w:tr>
      <w:tr w14:paraId="00A1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2D49F9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1798D0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4G网络通讯，三年流量（100M/月）</w:t>
            </w:r>
          </w:p>
          <w:p w14:paraId="23F397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支持MQTT、HTTP、WES云服务协议</w:t>
            </w:r>
          </w:p>
          <w:p w14:paraId="6F701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FDD B1/3/5/8</w:t>
            </w:r>
          </w:p>
          <w:p w14:paraId="20CC1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 B34/38/39/40/41（全频段）</w:t>
            </w:r>
          </w:p>
          <w:p w14:paraId="204542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速率(Mbps)  LTE FDD：10.3(DL)/5.1(UL)</w:t>
            </w:r>
          </w:p>
          <w:p w14:paraId="5D952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TDD：9.1(DL)/3.1(UL)</w:t>
            </w:r>
          </w:p>
        </w:tc>
      </w:tr>
      <w:tr w14:paraId="4C96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667A4B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123C0E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NB网络通讯，五年流量（300M/年）</w:t>
            </w:r>
          </w:p>
          <w:p w14:paraId="374C1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Cat NB2：B3/B5/B8</w:t>
            </w:r>
          </w:p>
          <w:p w14:paraId="51FB57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速率(kbps)：Single-Tone：25.5(DL)/16.7(UL)</w:t>
            </w:r>
          </w:p>
          <w:p w14:paraId="26FABF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Multi-Tpne：127(DL)/158.5(UL)</w:t>
            </w:r>
          </w:p>
        </w:tc>
      </w:tr>
      <w:tr w14:paraId="2AADA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45C43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32168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RS485</w:t>
            </w:r>
          </w:p>
          <w:p w14:paraId="298968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通讯协议兼容WES-IO和Modbus协议（固定115200bps）</w:t>
            </w:r>
          </w:p>
          <w:p w14:paraId="1229D7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波特率 2400、4800、9622、19200、34800、57622、115200</w:t>
            </w:r>
          </w:p>
          <w:p w14:paraId="2E43CA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数据位 7bit、8bit</w:t>
            </w:r>
          </w:p>
          <w:p w14:paraId="35FC77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停止位 1bit、1.5bit、2bit</w:t>
            </w:r>
          </w:p>
          <w:p w14:paraId="49CA3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校验位 None、Odd、Even</w:t>
            </w:r>
          </w:p>
        </w:tc>
      </w:tr>
      <w:tr w14:paraId="0730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Align w:val="center"/>
          </w:tcPr>
          <w:p w14:paraId="36AB68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采样周期</w:t>
            </w:r>
          </w:p>
        </w:tc>
        <w:tc>
          <w:tcPr>
            <w:tcW w:w="3802" w:type="pct"/>
            <w:vAlign w:val="center"/>
          </w:tcPr>
          <w:p w14:paraId="73F77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10秒~18小时可设定</w:t>
            </w:r>
          </w:p>
        </w:tc>
      </w:tr>
      <w:tr w14:paraId="5378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97" w:type="pct"/>
            <w:vAlign w:val="center"/>
          </w:tcPr>
          <w:p w14:paraId="64663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上报周期</w:t>
            </w:r>
          </w:p>
        </w:tc>
        <w:tc>
          <w:tcPr>
            <w:tcW w:w="3802" w:type="pct"/>
            <w:vAlign w:val="center"/>
          </w:tcPr>
          <w:p w14:paraId="4FA8D5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30秒~18小时可设定</w:t>
            </w:r>
          </w:p>
        </w:tc>
      </w:tr>
      <w:tr w14:paraId="6E688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9902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电气规格</w:t>
            </w:r>
          </w:p>
        </w:tc>
      </w:tr>
      <w:tr w14:paraId="6209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Align w:val="center"/>
          </w:tcPr>
          <w:p w14:paraId="11F0CB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供电电源</w:t>
            </w:r>
          </w:p>
        </w:tc>
        <w:tc>
          <w:tcPr>
            <w:tcW w:w="3802" w:type="pct"/>
            <w:vAlign w:val="center"/>
          </w:tcPr>
          <w:p w14:paraId="28EAD6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17000mAh，锂电池</w:t>
            </w:r>
          </w:p>
          <w:p w14:paraId="25974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9~30DC，典型24V</w:t>
            </w:r>
          </w:p>
        </w:tc>
      </w:tr>
      <w:tr w14:paraId="0B6D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197" w:type="pct"/>
            <w:vAlign w:val="center"/>
          </w:tcPr>
          <w:p w14:paraId="53403B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电池寿命</w:t>
            </w:r>
          </w:p>
        </w:tc>
        <w:tc>
          <w:tcPr>
            <w:tcW w:w="3802" w:type="pct"/>
            <w:vAlign w:val="center"/>
          </w:tcPr>
          <w:p w14:paraId="221A15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以具体使用工况和上报周期为准。</w:t>
            </w:r>
          </w:p>
          <w:p w14:paraId="3656D8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典型值</w:t>
            </w:r>
            <w:bookmarkStart w:id="142" w:name="_GoBack"/>
            <w:bookmarkEnd w:id="142"/>
          </w:p>
          <w:p w14:paraId="613BF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LoRa：8~10年@1次/1h</w:t>
            </w:r>
          </w:p>
          <w:p w14:paraId="2B816B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NB：4~6年@1次/1h</w:t>
            </w:r>
          </w:p>
          <w:p w14:paraId="1AA1C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color w:val="FF0000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4G：2~3年@1次/1h</w:t>
            </w:r>
          </w:p>
        </w:tc>
      </w:tr>
      <w:tr w14:paraId="45A71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5B9B0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环境条件</w:t>
            </w:r>
          </w:p>
        </w:tc>
      </w:tr>
      <w:tr w14:paraId="24CE3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282C1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工作环境</w:t>
            </w:r>
          </w:p>
        </w:tc>
        <w:tc>
          <w:tcPr>
            <w:tcW w:w="3802" w:type="pct"/>
            <w:vAlign w:val="center"/>
          </w:tcPr>
          <w:p w14:paraId="72F66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温度：（-30~75）℃</w:t>
            </w:r>
          </w:p>
          <w:p w14:paraId="39043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相对湿度：5%~95%</w:t>
            </w:r>
          </w:p>
        </w:tc>
      </w:tr>
      <w:tr w14:paraId="7408F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46D223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存储温度</w:t>
            </w:r>
          </w:p>
        </w:tc>
        <w:tc>
          <w:tcPr>
            <w:tcW w:w="3802" w:type="pct"/>
            <w:vAlign w:val="center"/>
          </w:tcPr>
          <w:p w14:paraId="566EA6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（-40~85）℃</w:t>
            </w:r>
          </w:p>
        </w:tc>
      </w:tr>
      <w:tr w14:paraId="590BE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7680C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防护等级</w:t>
            </w:r>
          </w:p>
        </w:tc>
        <w:tc>
          <w:tcPr>
            <w:tcW w:w="3802" w:type="pct"/>
            <w:vAlign w:val="center"/>
          </w:tcPr>
          <w:p w14:paraId="341EB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IP67</w:t>
            </w:r>
          </w:p>
        </w:tc>
      </w:tr>
    </w:tbl>
    <w:p w14:paraId="643DC870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5" w:type="first"/>
          <w:headerReference r:id="rId14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2"/>
    <w:bookmarkEnd w:id="103"/>
    <w:p w14:paraId="667EBDDA">
      <w:pPr>
        <w:rPr>
          <w:rFonts w:hint="eastAsia"/>
          <w:lang w:val="en-US" w:eastAsia="zh-CN"/>
        </w:rPr>
      </w:pPr>
      <w:bookmarkStart w:id="105" w:name="_Toc23137"/>
      <w:bookmarkStart w:id="106" w:name="_Toc26576_WPSOffice_Level1"/>
      <w:bookmarkStart w:id="107" w:name="_Toc5059_WPSOffice_Level1"/>
      <w:bookmarkStart w:id="108" w:name="_Toc897_WPSOffice_Level1"/>
      <w:r>
        <w:rPr>
          <w:rFonts w:hint="eastAsia"/>
          <w:lang w:val="en-US" w:eastAsia="zh-CN"/>
        </w:rPr>
        <w:br w:type="page"/>
      </w:r>
    </w:p>
    <w:p w14:paraId="5A8E282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9" w:name="_Toc2122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9"/>
    </w:p>
    <w:p w14:paraId="7BAA1B2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10" w:name="_Toc14603"/>
      <w:r>
        <w:rPr>
          <w:rFonts w:hint="eastAsia"/>
          <w:lang w:val="en-US" w:eastAsia="zh-CN"/>
        </w:rPr>
        <w:t>外形尺寸</w:t>
      </w:r>
      <w:bookmarkEnd w:id="110"/>
    </w:p>
    <w:p w14:paraId="0994B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drawing>
          <wp:inline distT="0" distB="0" distL="114300" distR="114300">
            <wp:extent cx="2879725" cy="2773680"/>
            <wp:effectExtent l="0" t="0" r="15875" b="7620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EA7D8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3C781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 w:firstLineChars="200"/>
        <w:textAlignment w:val="auto"/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eastAsia="宋体"/>
          <w:color w:val="auto"/>
          <w:highlight w:val="none"/>
          <w:lang w:val="en-US" w:eastAsia="zh-CN"/>
        </w:rPr>
        <w:t>探杆（护套）长度L：可选配20mm~1000mm</w:t>
      </w:r>
    </w:p>
    <w:p w14:paraId="73632BF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探杆</w:t>
      </w:r>
      <w:r>
        <w:rPr>
          <w:rFonts w:hint="eastAsia" w:eastAsia="宋体"/>
          <w:color w:val="auto"/>
          <w:highlight w:val="none"/>
          <w:lang w:val="en-US" w:eastAsia="zh-CN"/>
        </w:rPr>
        <w:t>（护套）</w:t>
      </w:r>
      <w:r>
        <w:rPr>
          <w:rFonts w:hint="eastAsia"/>
          <w:color w:val="auto"/>
          <w:highlight w:val="none"/>
          <w:lang w:val="en-US" w:eastAsia="zh-CN"/>
        </w:rPr>
        <w:t>直径d：可选配Φ6mm装配式、Φ8mm装配式、Φ10mm装配式或Φ12mm装配式，其他直径需定制。</w:t>
      </w:r>
    </w:p>
    <w:p w14:paraId="07F953F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1" w:name="_Toc11687"/>
      <w:r>
        <w:rPr>
          <w:rFonts w:hint="eastAsia"/>
          <w:b/>
          <w:bCs/>
          <w:lang w:val="en-US" w:eastAsia="zh-CN"/>
        </w:rPr>
        <w:t>过程连接</w:t>
      </w:r>
      <w:bookmarkEnd w:id="111"/>
    </w:p>
    <w:p w14:paraId="2D83EED4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672"/>
        <w:gridCol w:w="1673"/>
      </w:tblGrid>
      <w:tr w14:paraId="0093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8" w:type="pct"/>
            <w:shd w:val="clear" w:color="auto" w:fill="D7D7D7" w:themeFill="background1" w:themeFillShade="D8"/>
            <w:noWrap w:val="0"/>
            <w:vAlign w:val="top"/>
          </w:tcPr>
          <w:p w14:paraId="1F8468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1680" w:type="pct"/>
            <w:shd w:val="clear" w:color="auto" w:fill="FFFFFF" w:themeFill="background1"/>
            <w:noWrap w:val="0"/>
            <w:vAlign w:val="top"/>
          </w:tcPr>
          <w:p w14:paraId="17917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M20×1.5</w:t>
            </w:r>
          </w:p>
        </w:tc>
        <w:tc>
          <w:tcPr>
            <w:tcW w:w="1681" w:type="pct"/>
            <w:shd w:val="clear" w:color="auto" w:fill="FFFFFF" w:themeFill="background1"/>
            <w:noWrap w:val="0"/>
            <w:vAlign w:val="top"/>
          </w:tcPr>
          <w:p w14:paraId="3CDBE1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M30×1.5</w:t>
            </w:r>
          </w:p>
        </w:tc>
      </w:tr>
      <w:tr w14:paraId="79C9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8" w:type="pct"/>
            <w:shd w:val="clear" w:color="auto" w:fill="D7D7D7" w:themeFill="background1" w:themeFillShade="D8"/>
            <w:noWrap w:val="0"/>
            <w:vAlign w:val="top"/>
          </w:tcPr>
          <w:p w14:paraId="38F0F7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1680" w:type="pct"/>
            <w:noWrap w:val="0"/>
            <w:vAlign w:val="top"/>
          </w:tcPr>
          <w:p w14:paraId="7CFAA4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20mm</w:t>
            </w:r>
          </w:p>
        </w:tc>
        <w:tc>
          <w:tcPr>
            <w:tcW w:w="1681" w:type="pct"/>
            <w:noWrap w:val="0"/>
            <w:vAlign w:val="top"/>
          </w:tcPr>
          <w:p w14:paraId="65255A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30mm</w:t>
            </w:r>
          </w:p>
        </w:tc>
      </w:tr>
    </w:tbl>
    <w:p w14:paraId="0BF02CB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2" w:name="_Toc26476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2"/>
    </w:p>
    <w:p w14:paraId="2C923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</w:t>
      </w:r>
    </w:p>
    <w:p w14:paraId="6F205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过程连接材质：304SS或316LSS</w:t>
      </w:r>
    </w:p>
    <w:p w14:paraId="08F17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63060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探头材质：304SS或316LS</w:t>
      </w:r>
    </w:p>
    <w:p w14:paraId="79561BA6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6" w:type="default"/>
          <w:headerReference r:id="rId1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0014EF3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6A183DC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3" w:name="_Toc11971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5"/>
      <w:bookmarkEnd w:id="106"/>
      <w:bookmarkEnd w:id="107"/>
      <w:bookmarkEnd w:id="108"/>
      <w:bookmarkStart w:id="114" w:name="_Toc19936"/>
      <w:bookmarkStart w:id="115" w:name="_Toc8102_WPSOffice_Level2"/>
      <w:bookmarkStart w:id="116" w:name="_Toc2997_WPSOffice_Level2"/>
      <w:bookmarkStart w:id="117" w:name="_Toc23325"/>
      <w:bookmarkStart w:id="118" w:name="_Toc5895_WPSOffice_Level2"/>
      <w:r>
        <w:rPr>
          <w:rFonts w:hint="eastAsia"/>
          <w:b/>
          <w:sz w:val="21"/>
          <w:lang w:val="en-US" w:eastAsia="zh-CN"/>
        </w:rPr>
        <w:t>与接线</w:t>
      </w:r>
      <w:bookmarkEnd w:id="113"/>
    </w:p>
    <w:p w14:paraId="398BFF5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9" w:name="_Toc25939"/>
      <w:bookmarkStart w:id="120" w:name="_Toc2169"/>
      <w:bookmarkStart w:id="121" w:name="_Toc29826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19"/>
      <w:bookmarkEnd w:id="120"/>
      <w:bookmarkEnd w:id="121"/>
    </w:p>
    <w:p w14:paraId="1D3D4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533BE986">
      <w:pPr>
        <w:pStyle w:val="3"/>
        <w:bidi w:val="0"/>
        <w:rPr>
          <w:rFonts w:hint="default"/>
          <w:lang w:val="en-US" w:eastAsia="zh-CN"/>
        </w:rPr>
      </w:pPr>
      <w:bookmarkStart w:id="122" w:name="_Toc795"/>
      <w:bookmarkStart w:id="123" w:name="_Toc6877"/>
      <w:r>
        <w:rPr>
          <w:rFonts w:hint="eastAsia"/>
          <w:lang w:val="en-US" w:eastAsia="zh-CN"/>
        </w:rPr>
        <w:t>接线定义</w:t>
      </w:r>
      <w:bookmarkEnd w:id="122"/>
    </w:p>
    <w:p w14:paraId="6203F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DC供电和RS485通讯版本接线定义，如下表</w:t>
      </w:r>
      <w:r>
        <w:rPr>
          <w:color w:val="auto"/>
          <w:highlight w:val="none"/>
          <w:lang w:val="zh-TW" w:eastAsia="zh-TW"/>
        </w:rPr>
        <w:t>。</w:t>
      </w:r>
    </w:p>
    <w:p w14:paraId="1BBA8F37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接线定义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67"/>
        <w:gridCol w:w="467"/>
        <w:gridCol w:w="486"/>
        <w:gridCol w:w="486"/>
        <w:gridCol w:w="486"/>
        <w:gridCol w:w="486"/>
        <w:gridCol w:w="486"/>
        <w:gridCol w:w="576"/>
        <w:gridCol w:w="427"/>
      </w:tblGrid>
      <w:tr w14:paraId="27899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7D7D7"/>
            <w:noWrap w:val="0"/>
            <w:vAlign w:val="top"/>
          </w:tcPr>
          <w:p w14:paraId="4B3247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线色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11F84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红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52CF9C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蓝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2A58C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黄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17F02F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绿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56666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白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13FA78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棕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1314B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灰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7DFA9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玫红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9B653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紫</w:t>
            </w:r>
          </w:p>
        </w:tc>
      </w:tr>
      <w:tr w14:paraId="6647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531E77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定义</w:t>
            </w:r>
          </w:p>
        </w:tc>
        <w:tc>
          <w:tcPr>
            <w:tcW w:w="0" w:type="auto"/>
            <w:noWrap w:val="0"/>
            <w:vAlign w:val="top"/>
          </w:tcPr>
          <w:p w14:paraId="13FC17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DC</w:t>
            </w:r>
          </w:p>
          <w:p w14:paraId="7690C1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+</w:t>
            </w:r>
          </w:p>
        </w:tc>
        <w:tc>
          <w:tcPr>
            <w:tcW w:w="0" w:type="auto"/>
            <w:noWrap w:val="0"/>
            <w:vAlign w:val="top"/>
          </w:tcPr>
          <w:p w14:paraId="765F3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DC</w:t>
            </w:r>
          </w:p>
          <w:p w14:paraId="27D1E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noWrap w:val="0"/>
            <w:vAlign w:val="top"/>
          </w:tcPr>
          <w:p w14:paraId="557E32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485</w:t>
            </w:r>
          </w:p>
          <w:p w14:paraId="7DFEBC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0" w:type="auto"/>
            <w:noWrap w:val="0"/>
            <w:vAlign w:val="top"/>
          </w:tcPr>
          <w:p w14:paraId="3C379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485</w:t>
            </w:r>
          </w:p>
          <w:p w14:paraId="600FF3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  <w:tc>
          <w:tcPr>
            <w:tcW w:w="0" w:type="auto"/>
            <w:noWrap w:val="0"/>
            <w:vAlign w:val="top"/>
          </w:tcPr>
          <w:p w14:paraId="636A3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693523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1_2</w:t>
            </w:r>
          </w:p>
        </w:tc>
        <w:tc>
          <w:tcPr>
            <w:tcW w:w="0" w:type="auto"/>
            <w:noWrap w:val="0"/>
            <w:vAlign w:val="top"/>
          </w:tcPr>
          <w:p w14:paraId="1752BC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3EC96E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1_1</w:t>
            </w:r>
          </w:p>
        </w:tc>
        <w:tc>
          <w:tcPr>
            <w:tcW w:w="0" w:type="auto"/>
            <w:noWrap w:val="0"/>
            <w:vAlign w:val="top"/>
          </w:tcPr>
          <w:p w14:paraId="225D4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686E2A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2_2</w:t>
            </w:r>
          </w:p>
        </w:tc>
        <w:tc>
          <w:tcPr>
            <w:tcW w:w="0" w:type="auto"/>
            <w:noWrap w:val="0"/>
            <w:vAlign w:val="top"/>
          </w:tcPr>
          <w:p w14:paraId="0B5B23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6628F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2_1</w:t>
            </w:r>
          </w:p>
        </w:tc>
        <w:tc>
          <w:tcPr>
            <w:tcW w:w="0" w:type="auto"/>
            <w:noWrap w:val="0"/>
            <w:vAlign w:val="top"/>
          </w:tcPr>
          <w:p w14:paraId="017E7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PE</w:t>
            </w:r>
          </w:p>
        </w:tc>
      </w:tr>
    </w:tbl>
    <w:p w14:paraId="1F623B71">
      <w:pPr>
        <w:pStyle w:val="3"/>
        <w:bidi w:val="0"/>
        <w:rPr>
          <w:rFonts w:hint="default"/>
          <w:lang w:val="en-US" w:eastAsia="zh-CN"/>
        </w:rPr>
      </w:pPr>
      <w:bookmarkStart w:id="124" w:name="_Toc30485"/>
      <w:r>
        <w:rPr>
          <w:rFonts w:hint="eastAsia"/>
          <w:lang w:val="en-US" w:eastAsia="zh-CN"/>
        </w:rPr>
        <w:t>安装</w:t>
      </w:r>
      <w:bookmarkEnd w:id="123"/>
      <w:r>
        <w:rPr>
          <w:rFonts w:hint="eastAsia"/>
          <w:lang w:val="en-US" w:eastAsia="zh-CN"/>
        </w:rPr>
        <w:t>注意</w:t>
      </w:r>
      <w:bookmarkEnd w:id="124"/>
    </w:p>
    <w:p w14:paraId="4EBE42E4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bookmarkStart w:id="125" w:name="_Toc13983"/>
      <w:bookmarkStart w:id="126" w:name="_Toc22767"/>
      <w:r>
        <w:rPr>
          <w:rFonts w:hint="eastAsia" w:ascii="Times New Roman" w:hAnsi="Times New Roman" w:eastAsia="宋体"/>
          <w:highlight w:val="none"/>
          <w:lang w:val="en-US" w:eastAsia="zh-CN"/>
        </w:rPr>
        <w:t>投入式液位变送器安装时，金属探头应沉入容器底部。</w:t>
      </w:r>
    </w:p>
    <w:p w14:paraId="45A31BB6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0B271358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热源安装。</w:t>
      </w:r>
    </w:p>
    <w:p w14:paraId="75AEA004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确定工艺要求的测量范围与要安装的变送器量程一致</w:t>
      </w:r>
      <w:r>
        <w:rPr>
          <w:rFonts w:hint="eastAsia"/>
          <w:color w:val="auto"/>
          <w:highlight w:val="none"/>
          <w:lang w:val="zh-TW" w:eastAsia="zh-CN"/>
        </w:rPr>
        <w:t>。</w:t>
      </w:r>
    </w:p>
    <w:p w14:paraId="66980846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工艺安装的接头螺纹规格必须与变送器配套</w:t>
      </w:r>
      <w:r>
        <w:rPr>
          <w:rFonts w:hint="eastAsia"/>
          <w:color w:val="auto"/>
          <w:highlight w:val="none"/>
          <w:lang w:val="zh-TW" w:eastAsia="zh-CN"/>
        </w:rPr>
        <w:t>。</w:t>
      </w:r>
    </w:p>
    <w:p w14:paraId="134D040D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变送器</w:t>
      </w:r>
      <w:r>
        <w:rPr>
          <w:rFonts w:hint="eastAsia"/>
          <w:color w:val="auto"/>
          <w:lang w:eastAsia="zh-CN"/>
        </w:rPr>
        <w:t>安装时请用扳手拧仪表底座，请勿直接拧表头。</w:t>
      </w:r>
    </w:p>
    <w:p w14:paraId="1B223B0F">
      <w:pPr>
        <w:numPr>
          <w:ilvl w:val="0"/>
          <w:numId w:val="8"/>
        </w:numPr>
        <w:ind w:firstLine="3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探头安装与固定必须避免与容器壁碰撞或摩擦，同时要考虑介质流动等工况因素对产品固定和测量影响。</w:t>
      </w:r>
    </w:p>
    <w:p w14:paraId="33211E5A">
      <w:pPr>
        <w:numPr>
          <w:ilvl w:val="0"/>
          <w:numId w:val="8"/>
        </w:numPr>
        <w:ind w:firstLine="3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安装维护时，应将产品缓缓潜入介质中，避免膜片与介质面冲击受损。</w:t>
      </w:r>
    </w:p>
    <w:p w14:paraId="2E35D88A">
      <w:pPr>
        <w:numPr>
          <w:ilvl w:val="0"/>
          <w:numId w:val="8"/>
        </w:numPr>
        <w:ind w:firstLine="30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导线为特制防水导线，安装使用过程中应杜绝磨损、刺破、划伤导线。若现场存在以上问题，导线应采取保护措施。</w:t>
      </w:r>
    </w:p>
    <w:bookmarkEnd w:id="125"/>
    <w:bookmarkEnd w:id="126"/>
    <w:p w14:paraId="414AFCA9">
      <w:pPr>
        <w:pStyle w:val="3"/>
        <w:bidi w:val="0"/>
        <w:rPr>
          <w:rFonts w:hint="default"/>
          <w:lang w:val="en-US" w:eastAsia="zh-CN"/>
        </w:rPr>
      </w:pPr>
      <w:bookmarkStart w:id="127" w:name="_Toc17176"/>
      <w:bookmarkStart w:id="128" w:name="_Toc15861"/>
      <w:r>
        <w:rPr>
          <w:rFonts w:hint="eastAsia" w:ascii="Times New Roman" w:hAnsi="Times New Roman"/>
          <w:lang w:val="en-US" w:eastAsia="zh-CN"/>
        </w:rPr>
        <w:t>安装</w:t>
      </w:r>
      <w:bookmarkEnd w:id="127"/>
      <w:r>
        <w:rPr>
          <w:rFonts w:hint="eastAsia"/>
          <w:lang w:val="en-US" w:eastAsia="zh-CN"/>
        </w:rPr>
        <w:t>示意</w:t>
      </w:r>
      <w:bookmarkEnd w:id="128"/>
    </w:p>
    <w:p w14:paraId="0891F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Times New Roman" w:hAnsi="Times New Roman" w:eastAsia="宋体"/>
          <w:highlight w:val="none"/>
          <w:lang w:val="en-US" w:eastAsia="zh-CN"/>
        </w:rPr>
      </w:pPr>
      <w:r>
        <w:drawing>
          <wp:inline distT="0" distB="0" distL="114300" distR="114300">
            <wp:extent cx="1979930" cy="2722245"/>
            <wp:effectExtent l="0" t="0" r="1270" b="1905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7364">
      <w:pPr>
        <w:pStyle w:val="25"/>
        <w:shd w:val="clear" w:color="auto" w:fill="auto"/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投入式式液位计安装示意图</w:t>
      </w:r>
    </w:p>
    <w:p w14:paraId="2A1FD4E5">
      <w:pPr>
        <w:rPr>
          <w:rFonts w:hint="eastAsia"/>
          <w:color w:val="auto"/>
          <w:highlight w:val="none"/>
          <w:lang w:val="en-US" w:eastAsia="zh-CN"/>
        </w:rPr>
        <w:sectPr>
          <w:headerReference r:id="rId18" w:type="default"/>
          <w:footerReference r:id="rId20" w:type="default"/>
          <w:headerReference r:id="rId19" w:type="even"/>
          <w:footerReference r:id="rId21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BBFD534">
      <w:pPr>
        <w:pStyle w:val="25"/>
        <w:widowControl w:val="0"/>
        <w:numPr>
          <w:ilvl w:val="0"/>
          <w:numId w:val="0"/>
        </w:numPr>
        <w:shd w:val="clear" w:color="auto" w:fill="auto"/>
        <w:bidi w:val="0"/>
        <w:spacing w:line="240" w:lineRule="exact"/>
        <w:jc w:val="both"/>
        <w:rPr>
          <w:rFonts w:hint="eastAsia"/>
          <w:highlight w:val="none"/>
          <w:lang w:val="en-US" w:eastAsia="zh-CN"/>
        </w:rPr>
      </w:pPr>
    </w:p>
    <w:p w14:paraId="2BD52DA1">
      <w:pPr>
        <w:pStyle w:val="3"/>
        <w:numPr>
          <w:ilvl w:val="1"/>
          <w:numId w:val="0"/>
        </w:numPr>
        <w:tabs>
          <w:tab w:val="left" w:pos="420"/>
          <w:tab w:val="clear" w:pos="0"/>
        </w:tabs>
        <w:bidi w:val="0"/>
        <w:ind w:leftChars="0"/>
        <w:rPr>
          <w:rFonts w:hint="eastAsia"/>
          <w:color w:val="auto"/>
          <w:highlight w:val="none"/>
          <w:lang w:val="en-US" w:eastAsia="zh-CN"/>
        </w:rPr>
        <w:sectPr>
          <w:headerReference r:id="rId22" w:type="default"/>
          <w:footerReference r:id="rId24" w:type="default"/>
          <w:headerReference r:id="rId23" w:type="even"/>
          <w:footerReference r:id="rId2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C6C5251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br w:type="page"/>
      </w:r>
    </w:p>
    <w:bookmarkEnd w:id="114"/>
    <w:bookmarkEnd w:id="115"/>
    <w:bookmarkEnd w:id="116"/>
    <w:bookmarkEnd w:id="117"/>
    <w:bookmarkEnd w:id="118"/>
    <w:p w14:paraId="6DD1E555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29" w:name="_Toc21915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29"/>
    </w:p>
    <w:p w14:paraId="44670FE9">
      <w:pPr>
        <w:pStyle w:val="3"/>
        <w:bidi w:val="0"/>
        <w:rPr>
          <w:rFonts w:hint="default"/>
          <w:lang w:val="en-US" w:eastAsia="zh-CN"/>
        </w:rPr>
      </w:pPr>
      <w:bookmarkStart w:id="130" w:name="_Toc3010"/>
      <w:r>
        <w:rPr>
          <w:rFonts w:hint="eastAsia"/>
          <w:lang w:val="en-US" w:eastAsia="zh-CN"/>
        </w:rPr>
        <w:t>显示与操作单元</w:t>
      </w:r>
      <w:bookmarkEnd w:id="130"/>
    </w:p>
    <w:p w14:paraId="53481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625600" cy="1440180"/>
            <wp:effectExtent l="0" t="0" r="12700" b="762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1F5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718654E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5C82D0A8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5F4B0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413CCB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4F74E3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0870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1111DE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7B0C41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60F4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A046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5474A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550B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3F811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6DA056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7FF6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19CA3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352D8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66DC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DE4B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519FFB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投入式液位测量值</w:t>
            </w:r>
          </w:p>
        </w:tc>
      </w:tr>
      <w:tr w14:paraId="04A84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0068C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5AE24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故障标识</w:t>
            </w:r>
          </w:p>
        </w:tc>
      </w:tr>
      <w:tr w14:paraId="091F4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0D234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38A7C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报警标识</w:t>
            </w:r>
          </w:p>
        </w:tc>
      </w:tr>
      <w:tr w14:paraId="53F98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7366C6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01B111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识别倒计时，设备识别后，开始622秒倒计时</w:t>
            </w:r>
          </w:p>
        </w:tc>
      </w:tr>
      <w:tr w14:paraId="3725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7B89C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09" w:type="pct"/>
            <w:noWrap w:val="0"/>
            <w:vAlign w:val="center"/>
          </w:tcPr>
          <w:p w14:paraId="23D9E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</w:tbl>
    <w:p w14:paraId="6F84DE6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1103D67F">
      <w:pPr>
        <w:bidi w:val="0"/>
      </w:pPr>
      <w:r>
        <w:rPr>
          <w:lang w:val="en-US" w:eastAsia="zh-CN"/>
        </w:rPr>
        <w:t>共</w:t>
      </w:r>
      <w:r>
        <w:rPr>
          <w:rFonts w:hint="eastAsia"/>
          <w:lang w:val="en-US" w:eastAsia="zh-CN"/>
        </w:rPr>
        <w:t>2</w:t>
      </w:r>
      <w:r>
        <w:rPr>
          <w:lang w:val="en-US" w:eastAsia="zh-CN"/>
        </w:rPr>
        <w:t>个按键，</w:t>
      </w:r>
      <w:r>
        <w:rPr>
          <w:rFonts w:hint="eastAsia"/>
          <w:lang w:val="en-US" w:eastAsia="zh-CN"/>
        </w:rPr>
        <w:t>外部功能</w:t>
      </w:r>
      <w:r>
        <w:rPr>
          <w:lang w:val="en-US" w:eastAsia="zh-CN"/>
        </w:rPr>
        <w:t>键，</w:t>
      </w:r>
      <w:r>
        <w:rPr>
          <w:rFonts w:hint="eastAsia"/>
          <w:lang w:val="en-US" w:eastAsia="zh-CN"/>
        </w:rPr>
        <w:t>内部重置</w:t>
      </w:r>
      <w:r>
        <w:rPr>
          <w:lang w:val="en-US" w:eastAsia="zh-CN"/>
        </w:rPr>
        <w:t xml:space="preserve">键。 </w:t>
      </w:r>
    </w:p>
    <w:p w14:paraId="43E84AE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2"/>
      </w:tblGrid>
      <w:tr w14:paraId="2D83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11A21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按键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50A52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408A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95607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功能键</w:t>
            </w:r>
          </w:p>
        </w:tc>
        <w:tc>
          <w:tcPr>
            <w:tcW w:w="4096" w:type="pct"/>
            <w:noWrap w:val="0"/>
            <w:vAlign w:val="center"/>
          </w:tcPr>
          <w:p w14:paraId="0C5E5F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单击：切换测量值为板温</w:t>
            </w:r>
          </w:p>
          <w:p w14:paraId="7024A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三击：识别设备</w:t>
            </w:r>
          </w:p>
          <w:p w14:paraId="1D741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长按：长按5~6秒，松开按键后设备关机/开机。</w:t>
            </w:r>
          </w:p>
        </w:tc>
      </w:tr>
      <w:tr w14:paraId="02E6C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1BCF47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重置键</w:t>
            </w:r>
          </w:p>
        </w:tc>
        <w:tc>
          <w:tcPr>
            <w:tcW w:w="4096" w:type="pct"/>
            <w:noWrap w:val="0"/>
            <w:vAlign w:val="center"/>
          </w:tcPr>
          <w:p w14:paraId="211B6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长按：长按5~6秒，松开按键后设备重启。</w:t>
            </w:r>
          </w:p>
          <w:p w14:paraId="447E8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长按：长按10-11秒，松开按键后设备恢复出厂。</w:t>
            </w:r>
          </w:p>
        </w:tc>
      </w:tr>
    </w:tbl>
    <w:p w14:paraId="43E3E97E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</w:t>
      </w:r>
      <w:r>
        <w:rPr>
          <w:rFonts w:hint="eastAsia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3</w:t>
      </w: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 xml:space="preserve"> 报警及故障信息</w:t>
      </w:r>
    </w:p>
    <w:p w14:paraId="68EEDFD3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6B522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66711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6D452F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48C50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BA7E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3D0650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78DD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F359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40F51E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6C9F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3F59F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0D76E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6557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9F83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7F0E87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245C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10000C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2236D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07C5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8FDA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22FA3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58B5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6B1B9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324ADC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0536387E">
      <w:pPr>
        <w:bidi w:val="0"/>
      </w:pPr>
      <w:r>
        <w:rPr>
          <w:lang w:val="en-US" w:eastAsia="zh-CN"/>
        </w:rPr>
        <w:t>例如：图中状态码</w:t>
      </w:r>
      <w:r>
        <w:rPr>
          <w:rFonts w:hint="eastAsia"/>
          <w:lang w:val="en-US" w:eastAsia="zh-CN"/>
        </w:rPr>
        <w:t>被点亮，</w:t>
      </w:r>
      <w:r>
        <w:rPr>
          <w:lang w:val="en-US" w:eastAsia="zh-CN"/>
        </w:rPr>
        <w:t>显示</w:t>
      </w:r>
      <w:r>
        <w:rPr>
          <w:rFonts w:hint="eastAsia"/>
          <w:lang w:val="en-US" w:eastAsia="zh-CN"/>
        </w:rPr>
        <w:t>06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表示当前采集液位值触发报警阈值</w:t>
      </w:r>
      <w:r>
        <w:rPr>
          <w:rFonts w:hint="default"/>
          <w:lang w:val="en-US" w:eastAsia="zh-CN"/>
        </w:rPr>
        <w:t>。</w:t>
      </w:r>
    </w:p>
    <w:p w14:paraId="3E8EDB65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1" w:name="_Toc27699"/>
      <w:r>
        <w:rPr>
          <w:rFonts w:hint="eastAsia"/>
          <w:lang w:val="en-US" w:eastAsia="zh-CN"/>
        </w:rPr>
        <w:t>现场操作</w:t>
      </w:r>
      <w:bookmarkEnd w:id="131"/>
    </w:p>
    <w:p w14:paraId="42AD780F">
      <w:pPr>
        <w:bidi w:val="0"/>
      </w:pPr>
      <w:r>
        <w:rPr>
          <w:lang w:val="en-US" w:eastAsia="zh-CN"/>
        </w:rPr>
        <w:t xml:space="preserve">设备按键操作和屏显如下： </w:t>
      </w:r>
    </w:p>
    <w:p w14:paraId="06FB4EE7">
      <w:pPr>
        <w:bidi w:val="0"/>
      </w:pPr>
      <w:r>
        <w:rPr>
          <w:rFonts w:hint="default"/>
          <w:lang w:val="en-US" w:eastAsia="zh-CN"/>
        </w:rPr>
        <w:t>a.单击</w:t>
      </w:r>
      <w:r>
        <w:rPr>
          <w:rFonts w:hint="eastAsia"/>
          <w:lang w:val="en-US" w:eastAsia="zh-CN"/>
        </w:rPr>
        <w:t>功能</w:t>
      </w:r>
      <w:r>
        <w:rPr>
          <w:rFonts w:hint="default"/>
          <w:lang w:val="en-US" w:eastAsia="zh-CN"/>
        </w:rPr>
        <w:t>键，</w:t>
      </w:r>
      <w:r>
        <w:rPr>
          <w:rFonts w:hint="eastAsia"/>
          <w:lang w:val="en-US" w:eastAsia="zh-CN"/>
        </w:rPr>
        <w:t>屏幕切换显示为板温</w:t>
      </w:r>
      <w:r>
        <w:rPr>
          <w:rFonts w:hint="default"/>
          <w:lang w:val="en-US" w:eastAsia="zh-CN"/>
        </w:rPr>
        <w:t>值</w:t>
      </w:r>
      <w:r>
        <w:rPr>
          <w:rFonts w:hint="eastAsia"/>
          <w:lang w:val="en-US" w:eastAsia="zh-CN"/>
        </w:rPr>
        <w:t>，保持3s</w:t>
      </w:r>
      <w:r>
        <w:rPr>
          <w:rFonts w:hint="default"/>
          <w:lang w:val="en-US" w:eastAsia="zh-CN"/>
        </w:rPr>
        <w:t xml:space="preserve">； </w:t>
      </w:r>
    </w:p>
    <w:p w14:paraId="7CA36B0E">
      <w:pPr>
        <w:bidi w:val="0"/>
      </w:pPr>
      <w:r>
        <w:rPr>
          <w:rFonts w:hint="default"/>
          <w:lang w:val="en-US" w:eastAsia="zh-CN"/>
        </w:rPr>
        <w:t>b.</w:t>
      </w:r>
      <w:r>
        <w:rPr>
          <w:rFonts w:hint="eastAsia"/>
          <w:lang w:val="en-US" w:eastAsia="zh-CN"/>
        </w:rPr>
        <w:t>三</w:t>
      </w:r>
      <w:r>
        <w:rPr>
          <w:rFonts w:hint="default"/>
          <w:lang w:val="en-US" w:eastAsia="zh-CN"/>
        </w:rPr>
        <w:t>击</w:t>
      </w:r>
      <w:r>
        <w:rPr>
          <w:rFonts w:hint="eastAsia"/>
          <w:lang w:val="en-US" w:eastAsia="zh-CN"/>
        </w:rPr>
        <w:t>功能</w:t>
      </w:r>
      <w:r>
        <w:rPr>
          <w:rFonts w:hint="default"/>
          <w:lang w:val="en-US" w:eastAsia="zh-CN"/>
        </w:rPr>
        <w:t>键，</w:t>
      </w:r>
      <w:r>
        <w:rPr>
          <w:rFonts w:hint="eastAsia"/>
          <w:lang w:val="en-US" w:eastAsia="zh-CN"/>
        </w:rPr>
        <w:t>屏幕识别倒计时点亮，开始622秒倒计时</w:t>
      </w:r>
      <w:r>
        <w:rPr>
          <w:rFonts w:hint="default"/>
          <w:lang w:val="en-US" w:eastAsia="zh-CN"/>
        </w:rPr>
        <w:t xml:space="preserve">。 </w:t>
      </w:r>
    </w:p>
    <w:p w14:paraId="4A6FD321">
      <w:pPr>
        <w:bidi w:val="0"/>
        <w:rPr>
          <w:rFonts w:hint="default"/>
          <w:lang w:val="en-US"/>
        </w:rPr>
      </w:pPr>
      <w:r>
        <w:rPr>
          <w:rFonts w:hint="default"/>
          <w:lang w:val="en-US" w:eastAsia="zh-CN"/>
        </w:rPr>
        <w:t>c.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长按5~6秒功能键，松开按键后设备关机，屏幕熄灭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再次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长按5~6秒功能键，松开按键后设备开机，屏幕点亮。</w:t>
      </w:r>
    </w:p>
    <w:p w14:paraId="7832F051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</w:t>
      </w:r>
      <w:r>
        <w:rPr>
          <w:rFonts w:hint="eastAsia"/>
          <w:lang w:val="en-US" w:eastAsia="zh-CN"/>
        </w:rPr>
        <w:t>长按5~6秒重置键，松开按键后设备重启</w:t>
      </w:r>
      <w:r>
        <w:rPr>
          <w:rFonts w:hint="default"/>
          <w:lang w:val="en-US" w:eastAsia="zh-CN"/>
        </w:rPr>
        <w:t>。</w:t>
      </w:r>
    </w:p>
    <w:p w14:paraId="3357A8F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e</w:t>
      </w:r>
      <w:r>
        <w:rPr>
          <w:rFonts w:hint="default"/>
          <w:lang w:val="en-US" w:eastAsia="zh-CN"/>
        </w:rPr>
        <w:t>.</w:t>
      </w:r>
      <w:r>
        <w:rPr>
          <w:rFonts w:hint="eastAsia"/>
          <w:lang w:val="en-US" w:eastAsia="zh-CN"/>
        </w:rPr>
        <w:t>长按10~11秒重置键，松开按键后设备恢复出厂</w:t>
      </w:r>
      <w:r>
        <w:rPr>
          <w:rFonts w:hint="default"/>
          <w:lang w:val="en-US" w:eastAsia="zh-CN"/>
        </w:rPr>
        <w:t>。</w:t>
      </w:r>
    </w:p>
    <w:p w14:paraId="55FEBB6A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32" w:name="_Toc6386"/>
    </w:p>
    <w:p w14:paraId="63796B65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3" w:name="_Toc5024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2"/>
      <w:bookmarkEnd w:id="133"/>
    </w:p>
    <w:p w14:paraId="5EFAF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5ACC34A7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3E14E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653B8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175D9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5350E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21929873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19F51824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35BD0CB5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79233F82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EAB8A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57177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44B8E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1A125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4FA57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37B02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0AE6A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7444CF5F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3E4877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688CA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281FDC1C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64EA2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6635C7E2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29E24190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1FF7EADD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1120DDD6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4" w:name="_Toc3789"/>
      <w:r>
        <w:rPr>
          <w:rFonts w:hint="eastAsia"/>
          <w:lang w:val="en-US" w:eastAsia="zh-CN"/>
        </w:rPr>
        <w:t>设备本地蓝牙配置</w:t>
      </w:r>
      <w:bookmarkEnd w:id="134"/>
    </w:p>
    <w:p w14:paraId="6F170C0F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5955A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56E8A9B7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7A73C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60DEF148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71929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6101A45A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192FD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6F6D1488">
      <w:pPr>
        <w:ind w:left="0" w:leftChars="0" w:firstLine="0" w:firstLine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AD39F60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9693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5"/>
    </w:p>
    <w:p w14:paraId="0186B9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sectPr>
          <w:headerReference r:id="rId26" w:type="default"/>
          <w:headerReference r:id="rId2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30秒</w:t>
      </w:r>
      <w:r>
        <w:t>，上报周期默认为</w:t>
      </w:r>
      <w:r>
        <w:rPr>
          <w:rFonts w:hint="eastAsia"/>
          <w:lang w:val="en-US" w:eastAsia="zh-CN"/>
        </w:rPr>
        <w:t>5分钟</w:t>
      </w:r>
      <w:r>
        <w:t>，均可调）</w:t>
      </w:r>
    </w:p>
    <w:p w14:paraId="4D78064C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6" w:name="_Toc28690"/>
      <w:r>
        <w:rPr>
          <w:rFonts w:hint="eastAsia" w:ascii="Times New Roman" w:hAnsi="Times New Roman" w:eastAsia="宋体"/>
          <w:b/>
          <w:sz w:val="21"/>
          <w:lang w:val="en-US" w:eastAsia="zh-CN"/>
        </w:rPr>
        <w:t>故障分析及排除</w:t>
      </w:r>
      <w:bookmarkEnd w:id="136"/>
    </w:p>
    <w:p w14:paraId="2B371D94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防爆雷达物位变送器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p w14:paraId="2B1E376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1624"/>
        <w:gridCol w:w="2050"/>
      </w:tblGrid>
      <w:tr w14:paraId="5D3E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8" w:type="pct"/>
            <w:shd w:val="clear" w:color="auto" w:fill="D7D7D7" w:themeFill="background1" w:themeFillShade="D8"/>
            <w:vAlign w:val="center"/>
          </w:tcPr>
          <w:p w14:paraId="219C1B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16291B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原因</w:t>
            </w:r>
            <w:r>
              <w:rPr>
                <w:rFonts w:hint="eastAsia"/>
                <w:highlight w:val="none"/>
                <w:lang w:val="en-US" w:eastAsia="zh-CN"/>
              </w:rPr>
              <w:t>分析</w:t>
            </w:r>
          </w:p>
        </w:tc>
        <w:tc>
          <w:tcPr>
            <w:tcW w:w="2059" w:type="pct"/>
            <w:shd w:val="clear" w:color="auto" w:fill="D7D7D7" w:themeFill="background1" w:themeFillShade="D8"/>
            <w:vAlign w:val="center"/>
          </w:tcPr>
          <w:p w14:paraId="75089E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排除方法</w:t>
            </w:r>
          </w:p>
        </w:tc>
      </w:tr>
      <w:tr w14:paraId="1336A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8" w:type="pct"/>
            <w:vAlign w:val="center"/>
          </w:tcPr>
          <w:p w14:paraId="37D11C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086C55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59" w:type="pct"/>
            <w:vAlign w:val="center"/>
          </w:tcPr>
          <w:p w14:paraId="6B2781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更换新电池</w:t>
            </w:r>
          </w:p>
        </w:tc>
      </w:tr>
      <w:tr w14:paraId="2815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3A512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72FC28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卡未插好/卡没费/卡绑定</w:t>
            </w:r>
          </w:p>
        </w:tc>
        <w:tc>
          <w:tcPr>
            <w:tcW w:w="2059" w:type="pct"/>
            <w:vAlign w:val="top"/>
          </w:tcPr>
          <w:p w14:paraId="55AE1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重插</w:t>
            </w:r>
          </w:p>
          <w:p w14:paraId="7CB13B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查询卡费续费</w:t>
            </w:r>
          </w:p>
          <w:p w14:paraId="4F5746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卡解绑</w:t>
            </w:r>
          </w:p>
        </w:tc>
      </w:tr>
      <w:tr w14:paraId="09895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0F821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平台无数据</w:t>
            </w:r>
          </w:p>
        </w:tc>
        <w:tc>
          <w:tcPr>
            <w:tcW w:w="1631" w:type="pct"/>
            <w:vAlign w:val="center"/>
          </w:tcPr>
          <w:p w14:paraId="7F8249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一般程序有BUG</w:t>
            </w:r>
          </w:p>
        </w:tc>
        <w:tc>
          <w:tcPr>
            <w:tcW w:w="2059" w:type="pct"/>
            <w:vAlign w:val="top"/>
          </w:tcPr>
          <w:p w14:paraId="62E4A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检查程序</w:t>
            </w:r>
          </w:p>
        </w:tc>
      </w:tr>
    </w:tbl>
    <w:p w14:paraId="33E740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rPr>
          <w:rFonts w:hint="eastAsia"/>
          <w:lang w:val="en-US" w:eastAsia="zh-CN"/>
        </w:rPr>
        <w:sectPr>
          <w:headerReference r:id="rId28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96076D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7" w:name="_Toc10161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37"/>
    </w:p>
    <w:p w14:paraId="77A6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7413D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78B11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16380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22195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76E1C1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rPr>
          <w:rFonts w:hint="eastAsia" w:ascii="Times New Roman" w:hAnsi="Times New Roman" w:eastAsia="宋体"/>
        </w:rPr>
        <w:sectPr>
          <w:headerReference r:id="rId29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客户对产品自行拆解、修理和改装造成产品故障。</w:t>
      </w:r>
    </w:p>
    <w:p w14:paraId="1378EC4B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38" w:name="_Toc22185"/>
      <w:bookmarkStart w:id="139" w:name="_Toc12494"/>
      <w:bookmarkStart w:id="140" w:name="_Toc22776"/>
      <w:r>
        <w:rPr>
          <w:rFonts w:hint="eastAsia"/>
          <w:b/>
          <w:sz w:val="21"/>
          <w:lang w:val="en-US" w:eastAsia="zh-CN"/>
        </w:rPr>
        <w:t>附录 数据通信</w:t>
      </w:r>
      <w:bookmarkEnd w:id="138"/>
      <w:bookmarkEnd w:id="139"/>
      <w:bookmarkEnd w:id="140"/>
    </w:p>
    <w:p w14:paraId="6274F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0B2A1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21FB7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6A83B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05C44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2698B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47FEA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4BA72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251F0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7AA54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1F0A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2D9DC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4FCF7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C89B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080E0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56CF0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245B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3746E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7D16D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5F028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72F9B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464A4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611BF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</w:p>
    <w:p w14:paraId="4A0F6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2C0E7CB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413"/>
        <w:gridCol w:w="1717"/>
      </w:tblGrid>
      <w:tr w14:paraId="3C6B7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54AA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6172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EADA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D628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539E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A17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0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5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0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67DA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2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A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E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D4A9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1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6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E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428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C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FA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0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1970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1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3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B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EBC6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C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A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2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EA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2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2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4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2CF3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B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9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6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FE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7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9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2D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5780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4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2A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7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183B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0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49495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3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CB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设备状态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0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正常</w:t>
            </w:r>
          </w:p>
          <w:p w14:paraId="5C028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报警</w:t>
            </w:r>
          </w:p>
          <w:p w14:paraId="21D7D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错误</w:t>
            </w:r>
          </w:p>
        </w:tc>
      </w:tr>
      <w:tr w14:paraId="25C2C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B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B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报警码高16位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3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994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9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3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报警码低16位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D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694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E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B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故障码高16位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D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CD72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A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0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故障码低16位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C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1CF1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6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B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板温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C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数据步长为0.1</w:t>
            </w:r>
          </w:p>
        </w:tc>
      </w:tr>
      <w:tr w14:paraId="22361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4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6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高位</w:t>
            </w:r>
          </w:p>
        </w:tc>
        <w:tc>
          <w:tcPr>
            <w:tcW w:w="17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0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</w:tc>
      </w:tr>
      <w:tr w14:paraId="44229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A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94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低位</w:t>
            </w:r>
          </w:p>
        </w:tc>
        <w:tc>
          <w:tcPr>
            <w:tcW w:w="170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F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40B3C75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722"/>
        <w:gridCol w:w="2556"/>
      </w:tblGrid>
      <w:tr w14:paraId="2B265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499D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1AF2C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97E8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308D7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1A675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67106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5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F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F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09B36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初始默认值为1</w:t>
            </w:r>
          </w:p>
        </w:tc>
      </w:tr>
      <w:tr w14:paraId="37232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5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4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D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5E682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04B00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46CCE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6B96A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377CE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5898F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5:115200bps</w:t>
            </w:r>
          </w:p>
        </w:tc>
      </w:tr>
      <w:tr w14:paraId="3D21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5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F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系统时间高位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4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AEA0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4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4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系统时间低位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0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510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1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A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采样周期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B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524D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8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16888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E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6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高阈值高位</w:t>
            </w:r>
          </w:p>
        </w:tc>
        <w:tc>
          <w:tcPr>
            <w:tcW w:w="19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F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</w:tc>
      </w:tr>
      <w:tr w14:paraId="7140B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F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7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高阈值低位</w:t>
            </w:r>
          </w:p>
        </w:tc>
        <w:tc>
          <w:tcPr>
            <w:tcW w:w="19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9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95DC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6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B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低阈值高位</w:t>
            </w:r>
          </w:p>
        </w:tc>
        <w:tc>
          <w:tcPr>
            <w:tcW w:w="19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F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</w:tc>
      </w:tr>
      <w:tr w14:paraId="368B1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4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1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低阈值低位</w:t>
            </w:r>
          </w:p>
        </w:tc>
        <w:tc>
          <w:tcPr>
            <w:tcW w:w="19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5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6259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D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1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高限值高位</w:t>
            </w:r>
          </w:p>
        </w:tc>
        <w:tc>
          <w:tcPr>
            <w:tcW w:w="19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B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</w:tc>
      </w:tr>
      <w:tr w14:paraId="74286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D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8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高限值低位</w:t>
            </w:r>
          </w:p>
        </w:tc>
        <w:tc>
          <w:tcPr>
            <w:tcW w:w="19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8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F0E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0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7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低限值高位</w:t>
            </w:r>
          </w:p>
        </w:tc>
        <w:tc>
          <w:tcPr>
            <w:tcW w:w="19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D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</w:tc>
      </w:tr>
      <w:tr w14:paraId="2607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C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0x0017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8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低限值低位</w:t>
            </w:r>
          </w:p>
        </w:tc>
        <w:tc>
          <w:tcPr>
            <w:tcW w:w="19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6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A2C5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79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0x0018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1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A1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  <w:p w14:paraId="79E30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默认为0：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</w:p>
        </w:tc>
      </w:tr>
      <w:tr w14:paraId="3699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1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0x0019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C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液体密度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8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浮点型，单精度，高字节在前</w:t>
            </w:r>
          </w:p>
        </w:tc>
      </w:tr>
      <w:tr w14:paraId="649B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7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0x001B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2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比例系数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B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浮点型，单精度，高字节在前</w:t>
            </w:r>
          </w:p>
        </w:tc>
      </w:tr>
    </w:tbl>
    <w:p w14:paraId="4CEA2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5358C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5C8F0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2DCDF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01 04 00 16 00 0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90 0F</w:t>
      </w:r>
    </w:p>
    <w:p w14:paraId="1567B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</w:t>
      </w:r>
      <w:r>
        <w:rPr>
          <w:rFonts w:hint="eastAsia"/>
          <w:b w:val="0"/>
          <w:bCs w:val="0"/>
          <w:lang w:val="en-US" w:eastAsia="zh-CN"/>
        </w:rPr>
        <w:t>4 00 00 0A 28 FD 3A</w:t>
      </w:r>
    </w:p>
    <w:p w14:paraId="1BD82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00 0A 28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>2600mm，2.6m</w:t>
      </w:r>
    </w:p>
    <w:p w14:paraId="4569C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设置阈值指令：</w:t>
      </w:r>
    </w:p>
    <w:p w14:paraId="48AAE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液位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高阈值为</w:t>
      </w:r>
      <w:r>
        <w:rPr>
          <w:rFonts w:hint="eastAsia"/>
          <w:b w:val="0"/>
          <w:bCs w:val="0"/>
          <w:lang w:val="en-US" w:eastAsia="zh-CN"/>
        </w:rPr>
        <w:t>4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0</w:t>
      </w:r>
      <w:r>
        <w:rPr>
          <w:rFonts w:hint="eastAsia"/>
          <w:b w:val="0"/>
          <w:bCs w:val="0"/>
          <w:lang w:val="en-US" w:eastAsia="zh-CN"/>
        </w:rPr>
        <w:t>00mm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</w:t>
      </w:r>
      <w:r>
        <w:rPr>
          <w:rFonts w:hint="eastAsia"/>
          <w:b w:val="0"/>
          <w:bCs w:val="0"/>
          <w:lang w:val="en-US" w:eastAsia="zh-CN"/>
        </w:rPr>
        <w:t>液位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低阈值10</w:t>
      </w:r>
      <w:r>
        <w:rPr>
          <w:rFonts w:hint="eastAsia"/>
          <w:b w:val="0"/>
          <w:bCs w:val="0"/>
          <w:lang w:val="en-US" w:eastAsia="zh-CN"/>
        </w:rPr>
        <w:t>00mm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58F1B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</w:t>
      </w:r>
      <w:r>
        <w:rPr>
          <w:rFonts w:hint="eastAsia"/>
          <w:b w:val="0"/>
          <w:bCs w:val="0"/>
          <w:lang w:val="en-US" w:eastAsia="zh-CN"/>
        </w:rPr>
        <w:t>8 00 00 FA A0 00 00 03 E8 E3 78</w:t>
      </w:r>
    </w:p>
    <w:p w14:paraId="22105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4 C0 0F</w:t>
      </w:r>
    </w:p>
    <w:p w14:paraId="70152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</w:t>
      </w:r>
      <w:r>
        <w:rPr>
          <w:rFonts w:hint="eastAsia"/>
          <w:b w:val="0"/>
          <w:bCs w:val="0"/>
          <w:lang w:val="en-US" w:eastAsia="zh-CN"/>
        </w:rPr>
        <w:t>液体密度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7F267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液体密度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为</w:t>
      </w:r>
      <w:r>
        <w:rPr>
          <w:rFonts w:hint="eastAsia"/>
          <w:b w:val="0"/>
          <w:bCs w:val="0"/>
          <w:lang w:val="en-US" w:eastAsia="zh-CN"/>
        </w:rPr>
        <w:t>0.9998，即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3F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7F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F0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00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7058F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01 </w:t>
      </w:r>
      <w:r>
        <w:rPr>
          <w:rFonts w:hint="eastAsia"/>
          <w:b w:val="0"/>
          <w:bCs w:val="0"/>
          <w:lang w:val="en-US" w:eastAsia="zh-CN"/>
        </w:rPr>
        <w:t>10 00 19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</w:t>
      </w:r>
      <w:r>
        <w:rPr>
          <w:rFonts w:hint="eastAsia"/>
          <w:b w:val="0"/>
          <w:bCs w:val="0"/>
          <w:lang w:val="en-US" w:eastAsia="zh-CN"/>
        </w:rPr>
        <w:t xml:space="preserve">02 04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3F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7F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F0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00</w:t>
      </w:r>
      <w:r>
        <w:rPr>
          <w:rFonts w:hint="eastAsia"/>
          <w:b w:val="0"/>
          <w:bCs w:val="0"/>
          <w:lang w:val="en-US" w:eastAsia="zh-CN"/>
        </w:rPr>
        <w:t xml:space="preserve"> 4B 05</w:t>
      </w:r>
    </w:p>
    <w:p w14:paraId="0533F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/>
          <w:b w:val="0"/>
          <w:bCs w:val="0"/>
          <w:lang w:val="en-US" w:eastAsia="zh-CN"/>
        </w:rPr>
        <w:sectPr>
          <w:headerReference r:id="rId30" w:type="default"/>
          <w:headerReference r:id="rId31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01 </w:t>
      </w:r>
      <w:r>
        <w:rPr>
          <w:rFonts w:hint="eastAsia"/>
          <w:b w:val="0"/>
          <w:bCs w:val="0"/>
          <w:lang w:val="en-US" w:eastAsia="zh-CN"/>
        </w:rPr>
        <w:t>10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00 1</w:t>
      </w:r>
      <w:r>
        <w:rPr>
          <w:rFonts w:hint="eastAsia"/>
          <w:b w:val="0"/>
          <w:bCs w:val="0"/>
          <w:lang w:val="en-US" w:eastAsia="zh-CN"/>
        </w:rPr>
        <w:t>9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</w:t>
      </w:r>
      <w:r>
        <w:rPr>
          <w:rFonts w:hint="eastAsia"/>
          <w:b w:val="0"/>
          <w:bCs w:val="0"/>
          <w:lang w:val="en-US" w:eastAsia="zh-CN"/>
        </w:rPr>
        <w:t>2 90 0F</w:t>
      </w:r>
    </w:p>
    <w:p w14:paraId="39DCB286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bookmarkStart w:id="141" w:name="_Toc28028"/>
      <w:r>
        <w:rPr>
          <w:rFonts w:hint="eastAsia"/>
          <w:b/>
          <w:sz w:val="21"/>
          <w:lang w:val="en-US" w:eastAsia="zh-CN"/>
        </w:rPr>
        <w:t>附录 选型与订货</w:t>
      </w:r>
      <w:bookmarkEnd w:id="141"/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3341"/>
      </w:tblGrid>
      <w:tr w14:paraId="14D6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0" w:type="auto"/>
            <w:gridSpan w:val="2"/>
            <w:shd w:val="clear" w:color="auto" w:fill="D7D7D7" w:themeFill="background1" w:themeFillShade="D8"/>
            <w:vAlign w:val="center"/>
          </w:tcPr>
          <w:p w14:paraId="0B58DC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WE-T</w:t>
            </w:r>
            <w:r>
              <w:rPr>
                <w:rFonts w:hint="eastAsia"/>
                <w:highlight w:val="none"/>
                <w:lang w:val="en-US" w:eastAsia="zh-CN"/>
              </w:rPr>
              <w:t>622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产品选型参数表</w:t>
            </w:r>
          </w:p>
        </w:tc>
      </w:tr>
      <w:tr w14:paraId="1F862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shd w:val="clear" w:color="auto" w:fill="D7D7D7" w:themeFill="background1" w:themeFillShade="D8"/>
            <w:vAlign w:val="center"/>
          </w:tcPr>
          <w:p w14:paraId="40E21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参数类别</w:t>
            </w:r>
          </w:p>
        </w:tc>
        <w:tc>
          <w:tcPr>
            <w:tcW w:w="3341" w:type="dxa"/>
            <w:shd w:val="clear" w:color="auto" w:fill="D7D7D7" w:themeFill="background1" w:themeFillShade="D8"/>
            <w:vAlign w:val="center"/>
          </w:tcPr>
          <w:p w14:paraId="66F90D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选型代码与规格说明</w:t>
            </w:r>
          </w:p>
        </w:tc>
      </w:tr>
      <w:tr w14:paraId="0383B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restart"/>
            <w:vAlign w:val="center"/>
          </w:tcPr>
          <w:p w14:paraId="264B7F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通讯方式</w:t>
            </w:r>
          </w:p>
        </w:tc>
        <w:tc>
          <w:tcPr>
            <w:tcW w:w="3341" w:type="dxa"/>
            <w:vAlign w:val="center"/>
          </w:tcPr>
          <w:p w14:paraId="21E1BF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LR：LoRa</w:t>
            </w:r>
          </w:p>
        </w:tc>
      </w:tr>
      <w:tr w14:paraId="65B7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continue"/>
            <w:vAlign w:val="center"/>
          </w:tcPr>
          <w:p w14:paraId="7E2BC0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341" w:type="dxa"/>
            <w:vAlign w:val="center"/>
          </w:tcPr>
          <w:p w14:paraId="383F7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4G：4G/Cat1</w:t>
            </w:r>
          </w:p>
        </w:tc>
      </w:tr>
      <w:tr w14:paraId="6B75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continue"/>
            <w:vAlign w:val="center"/>
          </w:tcPr>
          <w:p w14:paraId="6E534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341" w:type="dxa"/>
            <w:vAlign w:val="center"/>
          </w:tcPr>
          <w:p w14:paraId="31623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NB：NB</w:t>
            </w:r>
          </w:p>
        </w:tc>
      </w:tr>
      <w:tr w14:paraId="54F9F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continue"/>
            <w:vAlign w:val="center"/>
          </w:tcPr>
          <w:p w14:paraId="6ACF97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341" w:type="dxa"/>
            <w:vAlign w:val="center"/>
          </w:tcPr>
          <w:p w14:paraId="6D88C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RS：RS485</w:t>
            </w:r>
          </w:p>
        </w:tc>
      </w:tr>
      <w:tr w14:paraId="092A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Align w:val="center"/>
          </w:tcPr>
          <w:p w14:paraId="6883B4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A精度等级</w:t>
            </w:r>
          </w:p>
        </w:tc>
        <w:tc>
          <w:tcPr>
            <w:tcW w:w="3341" w:type="dxa"/>
            <w:vAlign w:val="center"/>
          </w:tcPr>
          <w:p w14:paraId="5CD1C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N/A</w:t>
            </w:r>
          </w:p>
        </w:tc>
      </w:tr>
      <w:tr w14:paraId="714B3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restart"/>
            <w:vAlign w:val="center"/>
          </w:tcPr>
          <w:p w14:paraId="5E2D06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R量程范围</w:t>
            </w:r>
          </w:p>
        </w:tc>
        <w:tc>
          <w:tcPr>
            <w:tcW w:w="3341" w:type="dxa"/>
            <w:vAlign w:val="center"/>
          </w:tcPr>
          <w:p w14:paraId="0C1A99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R5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：</w:t>
            </w:r>
            <w:r>
              <w:rPr>
                <w:rFonts w:hint="eastAsia"/>
                <w:highlight w:val="none"/>
                <w:lang w:val="en-US" w:eastAsia="zh-CN"/>
              </w:rPr>
              <w:t>5m</w:t>
            </w:r>
          </w:p>
        </w:tc>
      </w:tr>
      <w:tr w14:paraId="2F39B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continue"/>
            <w:vAlign w:val="center"/>
          </w:tcPr>
          <w:p w14:paraId="707377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341" w:type="dxa"/>
            <w:vAlign w:val="center"/>
          </w:tcPr>
          <w:p w14:paraId="08807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R10：10m</w:t>
            </w:r>
          </w:p>
        </w:tc>
      </w:tr>
      <w:tr w14:paraId="1A2B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restart"/>
            <w:vAlign w:val="center"/>
          </w:tcPr>
          <w:p w14:paraId="1B604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P供电方式</w:t>
            </w:r>
          </w:p>
        </w:tc>
        <w:tc>
          <w:tcPr>
            <w:tcW w:w="3341" w:type="dxa"/>
            <w:vAlign w:val="center"/>
          </w:tcPr>
          <w:p w14:paraId="002A11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P0：</w:t>
            </w:r>
            <w:r>
              <w:rPr>
                <w:rFonts w:hint="eastAsia"/>
                <w:highlight w:val="none"/>
                <w:lang w:val="en-US" w:eastAsia="zh-CN"/>
              </w:rPr>
              <w:t>电池供电</w:t>
            </w:r>
          </w:p>
        </w:tc>
      </w:tr>
      <w:tr w14:paraId="4293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Merge w:val="continue"/>
            <w:vAlign w:val="center"/>
          </w:tcPr>
          <w:p w14:paraId="42EF6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341" w:type="dxa"/>
            <w:vAlign w:val="center"/>
          </w:tcPr>
          <w:p w14:paraId="48244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P1：9~30VDC供电</w:t>
            </w:r>
          </w:p>
        </w:tc>
      </w:tr>
      <w:tr w14:paraId="65BF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93" w:type="dxa"/>
            <w:vAlign w:val="center"/>
          </w:tcPr>
          <w:p w14:paraId="2E2679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传感器安装方式</w:t>
            </w:r>
          </w:p>
        </w:tc>
        <w:tc>
          <w:tcPr>
            <w:tcW w:w="3341" w:type="dxa"/>
            <w:vAlign w:val="center"/>
          </w:tcPr>
          <w:p w14:paraId="680DB6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N/A</w:t>
            </w:r>
          </w:p>
        </w:tc>
      </w:tr>
      <w:tr w14:paraId="48F6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0" w:type="auto"/>
            <w:gridSpan w:val="2"/>
            <w:vAlign w:val="center"/>
          </w:tcPr>
          <w:p w14:paraId="099C41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备注：可定制供电方式</w:t>
            </w:r>
          </w:p>
        </w:tc>
      </w:tr>
    </w:tbl>
    <w:p w14:paraId="34A95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示例：</w:t>
      </w:r>
    </w:p>
    <w:p w14:paraId="49FE9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WE-T</w:t>
      </w:r>
      <w:r>
        <w:rPr>
          <w:rFonts w:hint="eastAsia"/>
          <w:lang w:val="en-US" w:eastAsia="zh-CN"/>
        </w:rPr>
        <w:t>622</w:t>
      </w:r>
      <w:r>
        <w:rPr>
          <w:rFonts w:hint="default" w:ascii="Times New Roman" w:hAnsi="Times New Roman" w:eastAsia="宋体"/>
          <w:lang w:val="en-US" w:eastAsia="zh-CN"/>
        </w:rPr>
        <w:t>-LR</w:t>
      </w:r>
      <w:r>
        <w:rPr>
          <w:rFonts w:hint="eastAsia"/>
          <w:lang w:val="en-US" w:eastAsia="zh-CN"/>
        </w:rPr>
        <w:t>-R5</w:t>
      </w:r>
      <w:r>
        <w:rPr>
          <w:rFonts w:hint="default" w:ascii="Times New Roman" w:hAnsi="Times New Roman" w:eastAsia="宋体"/>
          <w:lang w:val="en-US" w:eastAsia="zh-CN"/>
        </w:rPr>
        <w:t>-P0</w:t>
      </w:r>
    </w:p>
    <w:p w14:paraId="0C852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LoRa</w:t>
      </w:r>
      <w:r>
        <w:rPr>
          <w:rFonts w:hint="eastAsia"/>
          <w:lang w:val="en-US" w:eastAsia="zh-CN"/>
        </w:rPr>
        <w:t>投入式液位</w:t>
      </w:r>
      <w:r>
        <w:rPr>
          <w:rFonts w:hint="eastAsia" w:ascii="Times New Roman" w:hAnsi="Times New Roman" w:eastAsia="宋体"/>
          <w:lang w:val="en-US" w:eastAsia="zh-CN"/>
        </w:rPr>
        <w:t>变送器</w:t>
      </w:r>
      <w:r>
        <w:rPr>
          <w:rFonts w:hint="eastAsia"/>
          <w:lang w:val="en-US" w:eastAsia="zh-CN"/>
        </w:rPr>
        <w:t>（一体式表头）</w:t>
      </w:r>
      <w:r>
        <w:rPr>
          <w:rFonts w:hint="eastAsia" w:ascii="Times New Roman" w:hAnsi="Times New Roman" w:eastAsia="宋体"/>
          <w:lang w:val="en-US" w:eastAsia="zh-CN"/>
        </w:rPr>
        <w:t>，</w:t>
      </w:r>
      <w:r>
        <w:rPr>
          <w:rFonts w:hint="eastAsia"/>
          <w:highlight w:val="none"/>
          <w:lang w:val="en-US" w:eastAsia="zh-CN"/>
        </w:rPr>
        <w:t>5m</w:t>
      </w:r>
      <w:r>
        <w:rPr>
          <w:rFonts w:hint="eastAsia" w:ascii="Times New Roman" w:hAnsi="Times New Roman" w:eastAsia="宋体"/>
          <w:lang w:val="en-US" w:eastAsia="zh-CN"/>
        </w:rPr>
        <w:t>检测范围，电池供电</w:t>
      </w:r>
    </w:p>
    <w:p w14:paraId="0FD84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/>
          <w:b w:val="0"/>
          <w:bCs w:val="0"/>
          <w:lang w:val="en-US" w:eastAsia="zh-CN"/>
        </w:rPr>
        <w:sectPr>
          <w:headerReference r:id="rId32" w:type="default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01D59002">
      <w:pPr>
        <w:rPr>
          <w:rFonts w:hint="default"/>
        </w:rPr>
      </w:pPr>
    </w:p>
    <w:p w14:paraId="4C62ABBC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3847465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8836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02.95pt;height:17.4pt;width:238.25pt;z-index:251660288;mso-width-relative:page;mso-height-relative:page;" fillcolor="#FFFFFF" filled="t" stroked="f" coordsize="21600,21600" o:gfxdata="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uKDIzN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018836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3460115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2966085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52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3417570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192A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58B58C8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69.1pt;height:24.85pt;width:138.4pt;z-index:251665408;mso-width-relative:page;mso-height-relative:page;" fillcolor="#FFFFFF" filled="t" stroked="f" coordsize="21600,21600" o:gfxdata="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UPZLj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0192A0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58B58C8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3" w:type="default"/>
      <w:footerReference r:id="rId35" w:type="default"/>
      <w:headerReference r:id="rId34" w:type="even"/>
      <w:footerReference r:id="rId36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139AF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DD75D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092D5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0CD14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85AF38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85AF38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17C76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17C76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095C7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568A2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568A2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71A03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7A23A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7A23A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8DDB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D645B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D645B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60CC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B26028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B26028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79627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C388D4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C388D4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F0D4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BA7827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BA7827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85D9A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1312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BE8B8">
    <w:pPr>
      <w:pStyle w:val="8"/>
      <w:spacing w:after="72"/>
      <w:ind w:firstLine="360"/>
      <w:jc w:val="center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3810</wp:posOffset>
              </wp:positionH>
              <wp:positionV relativeFrom="paragraph">
                <wp:posOffset>140970</wp:posOffset>
              </wp:positionV>
              <wp:extent cx="3060065" cy="76200"/>
              <wp:effectExtent l="0" t="11430" r="6985" b="0"/>
              <wp:wrapNone/>
              <wp:docPr id="6" name="组合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12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2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.3pt;margin-top:11.1pt;height:6pt;width:240.95pt;z-index:251677696;mso-width-relative:page;mso-height-relative:page;" coordorigin="18,18" coordsize="6590,20" o:gfxdata="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SIa6adcAAAAGAQAADwAAAAAAAAABACAAAAAiAAAAZHJzL2Rvd25yZXYueG1sUEsBAhQAFAAAAAgA&#10;h07iQKXBiK/RAgAAYQgAAA4AAAAAAAAAAQAgAAAAJg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+uyGursAAADb&#10;AAAADwAAAGRycy9kb3ducmV2LnhtbEVPS4vCMBC+C/6HMII3m7YHlWr0oMjuwsLiA8Tb0IxtsZl0&#10;k/jYf78RBG/z8T1nvnyYVtzI+caygixJQRCXVjdcKTjsN6MpCB+QNbaWScEfeVgu+r05FtreeUu3&#10;XahEDGFfoII6hK6Q0pc1GfSJ7Ygjd7bOYIjQVVI7vMdw08o8TcfSYMOxocaOVjWVl93VKPhan93l&#10;e+qy06+rttePzkyOP7lSw0GWzkAEeoS3+OX+1HF+Ds9f4gFy8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uyGursAAADb&#10;AAAADwAAAAAAAAABACAAAAAiAAAAZHJzL2Rvd25yZXYueG1sUEsBAhQAFAAAAAgAh07iQDMvBZ47&#10;AAAAOQAAABAAAAAAAAAAAQAgAAAACgEAAGRycy9zaGFwZXhtbC54bWxQSwUGAAAAAAYABgBbAQAA&#10;tAMAAAAA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A9nt2LkAAADb&#10;AAAADwAAAGRycy9kb3ducmV2LnhtbEVPTWsCMRC9F/ofwhR6q4mBStma3YNS0IMHreB12Ew3i5vJ&#10;mqSr/ntzKPT4eN/L5uYHMVFMfWAD85kCQdwG23Nn4Pj99fYBImVki0NgMnCnBE39/LTEyoYr72k6&#10;5E6UEE4VGnA5j5WUqXXkMc3CSFy4nxA95gJjJ23Eawn3g9RKLaTHnkuDw5FWjtrz4dcbWJy2Fxt3&#10;6n4+7iat9Tpe3l005vVlrj5BZLrlf/Gfe2MN6LK+fCk/QNY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PZ7di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E0617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90631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A85F5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6C4F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5F039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6EAF7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7A8F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E62CD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F05ED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E7CB6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5C7D3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71BE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D203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05B2E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9A38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886C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9A691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C7CB7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8792D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D5C2C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6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7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1B223C"/>
    <w:rsid w:val="03870C59"/>
    <w:rsid w:val="05812B41"/>
    <w:rsid w:val="063C2A27"/>
    <w:rsid w:val="06C666B1"/>
    <w:rsid w:val="08437A19"/>
    <w:rsid w:val="0AAB30BB"/>
    <w:rsid w:val="0E0F1632"/>
    <w:rsid w:val="0E121D8E"/>
    <w:rsid w:val="0E751CC7"/>
    <w:rsid w:val="0EBD5EF0"/>
    <w:rsid w:val="0F7B1F2F"/>
    <w:rsid w:val="101A7019"/>
    <w:rsid w:val="10822D43"/>
    <w:rsid w:val="12BC340B"/>
    <w:rsid w:val="13F422A1"/>
    <w:rsid w:val="142806DC"/>
    <w:rsid w:val="158A3C94"/>
    <w:rsid w:val="18736C61"/>
    <w:rsid w:val="19EE55A6"/>
    <w:rsid w:val="1B7927E1"/>
    <w:rsid w:val="1B99078D"/>
    <w:rsid w:val="1C912B6A"/>
    <w:rsid w:val="1E285DF8"/>
    <w:rsid w:val="1E686259"/>
    <w:rsid w:val="1FB91598"/>
    <w:rsid w:val="203B5995"/>
    <w:rsid w:val="234C4162"/>
    <w:rsid w:val="241807C0"/>
    <w:rsid w:val="25380D99"/>
    <w:rsid w:val="28F72F97"/>
    <w:rsid w:val="299E171E"/>
    <w:rsid w:val="2A126149"/>
    <w:rsid w:val="2C33629D"/>
    <w:rsid w:val="306D74E0"/>
    <w:rsid w:val="30BD34B2"/>
    <w:rsid w:val="31C64BB0"/>
    <w:rsid w:val="324441C8"/>
    <w:rsid w:val="32AC70A5"/>
    <w:rsid w:val="34A22009"/>
    <w:rsid w:val="35C47CDD"/>
    <w:rsid w:val="36406F2D"/>
    <w:rsid w:val="377C2217"/>
    <w:rsid w:val="37CC56F5"/>
    <w:rsid w:val="39C3314D"/>
    <w:rsid w:val="39EB140E"/>
    <w:rsid w:val="3C7A4305"/>
    <w:rsid w:val="3CDE7541"/>
    <w:rsid w:val="3D7F382F"/>
    <w:rsid w:val="406D219C"/>
    <w:rsid w:val="40984DE2"/>
    <w:rsid w:val="40E125D8"/>
    <w:rsid w:val="4337057B"/>
    <w:rsid w:val="433E7700"/>
    <w:rsid w:val="459A542A"/>
    <w:rsid w:val="48320D42"/>
    <w:rsid w:val="48A779B6"/>
    <w:rsid w:val="49660E46"/>
    <w:rsid w:val="499626E6"/>
    <w:rsid w:val="4B570322"/>
    <w:rsid w:val="4C152A0E"/>
    <w:rsid w:val="4FD60865"/>
    <w:rsid w:val="50735531"/>
    <w:rsid w:val="53E27924"/>
    <w:rsid w:val="53F71FB7"/>
    <w:rsid w:val="5922193C"/>
    <w:rsid w:val="5A124F02"/>
    <w:rsid w:val="5A160C1F"/>
    <w:rsid w:val="5E304F6C"/>
    <w:rsid w:val="5F555D83"/>
    <w:rsid w:val="5FD3241A"/>
    <w:rsid w:val="63A177AC"/>
    <w:rsid w:val="65E9565C"/>
    <w:rsid w:val="67CC6DC1"/>
    <w:rsid w:val="68C42938"/>
    <w:rsid w:val="69765236"/>
    <w:rsid w:val="6B2F5EBA"/>
    <w:rsid w:val="6BDE2736"/>
    <w:rsid w:val="6C6F4534"/>
    <w:rsid w:val="6D3D5D3A"/>
    <w:rsid w:val="6E664271"/>
    <w:rsid w:val="6F386377"/>
    <w:rsid w:val="709A2684"/>
    <w:rsid w:val="70CE7706"/>
    <w:rsid w:val="72BD7A32"/>
    <w:rsid w:val="734B7749"/>
    <w:rsid w:val="74A215D5"/>
    <w:rsid w:val="75696AA7"/>
    <w:rsid w:val="784426E6"/>
    <w:rsid w:val="7A5C270A"/>
    <w:rsid w:val="7FB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5" Type="http://schemas.openxmlformats.org/officeDocument/2006/relationships/fontTable" Target="fontTable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15.jpeg"/><Relationship Id="rId51" Type="http://schemas.openxmlformats.org/officeDocument/2006/relationships/image" Target="media/image14.png"/><Relationship Id="rId50" Type="http://schemas.openxmlformats.org/officeDocument/2006/relationships/image" Target="media/image13.png"/><Relationship Id="rId5" Type="http://schemas.openxmlformats.org/officeDocument/2006/relationships/footer" Target="footer1.xml"/><Relationship Id="rId49" Type="http://schemas.openxmlformats.org/officeDocument/2006/relationships/image" Target="media/image12.png"/><Relationship Id="rId48" Type="http://schemas.openxmlformats.org/officeDocument/2006/relationships/image" Target="media/image11.png"/><Relationship Id="rId47" Type="http://schemas.openxmlformats.org/officeDocument/2006/relationships/image" Target="media/image10.png"/><Relationship Id="rId46" Type="http://schemas.openxmlformats.org/officeDocument/2006/relationships/image" Target="media/image9.png"/><Relationship Id="rId45" Type="http://schemas.openxmlformats.org/officeDocument/2006/relationships/image" Target="media/image8.png"/><Relationship Id="rId44" Type="http://schemas.openxmlformats.org/officeDocument/2006/relationships/image" Target="media/image7.png"/><Relationship Id="rId43" Type="http://schemas.openxmlformats.org/officeDocument/2006/relationships/image" Target="media/image6.png"/><Relationship Id="rId42" Type="http://schemas.openxmlformats.org/officeDocument/2006/relationships/image" Target="media/image5.png"/><Relationship Id="rId41" Type="http://schemas.openxmlformats.org/officeDocument/2006/relationships/image" Target="media/image4.png"/><Relationship Id="rId40" Type="http://schemas.openxmlformats.org/officeDocument/2006/relationships/image" Target="media/image3.png"/><Relationship Id="rId4" Type="http://schemas.openxmlformats.org/officeDocument/2006/relationships/endnotes" Target="endnotes.xml"/><Relationship Id="rId39" Type="http://schemas.openxmlformats.org/officeDocument/2006/relationships/image" Target="media/image2.png"/><Relationship Id="rId38" Type="http://schemas.openxmlformats.org/officeDocument/2006/relationships/image" Target="media/image1.png"/><Relationship Id="rId37" Type="http://schemas.openxmlformats.org/officeDocument/2006/relationships/theme" Target="theme/theme1.xml"/><Relationship Id="rId36" Type="http://schemas.openxmlformats.org/officeDocument/2006/relationships/footer" Target="footer12.xml"/><Relationship Id="rId35" Type="http://schemas.openxmlformats.org/officeDocument/2006/relationships/footer" Target="footer11.xml"/><Relationship Id="rId34" Type="http://schemas.openxmlformats.org/officeDocument/2006/relationships/header" Target="header20.xml"/><Relationship Id="rId33" Type="http://schemas.openxmlformats.org/officeDocument/2006/relationships/header" Target="header19.xml"/><Relationship Id="rId32" Type="http://schemas.openxmlformats.org/officeDocument/2006/relationships/header" Target="header18.xml"/><Relationship Id="rId31" Type="http://schemas.openxmlformats.org/officeDocument/2006/relationships/header" Target="header17.xml"/><Relationship Id="rId30" Type="http://schemas.openxmlformats.org/officeDocument/2006/relationships/header" Target="header16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header" Target="header13.xml"/><Relationship Id="rId26" Type="http://schemas.openxmlformats.org/officeDocument/2006/relationships/header" Target="header12.xml"/><Relationship Id="rId25" Type="http://schemas.openxmlformats.org/officeDocument/2006/relationships/footer" Target="footer10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header" Target="header10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1855</Words>
  <Characters>2386</Characters>
  <Lines>0</Lines>
  <Paragraphs>0</Paragraphs>
  <TotalTime>0</TotalTime>
  <ScaleCrop>false</ScaleCrop>
  <LinksUpToDate>false</LinksUpToDate>
  <CharactersWithSpaces>2455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2024-01-15T07:10:00Z</dcterms:created>
  <dc:creator>JGX</dc:creator>
  <cp:lastModifiedBy>辰</cp:lastModifiedBy>
  <dcterms:modified xsi:type="dcterms:W3CDTF">2026-02-11T09:14:09Z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D8D06F5013474173A645C76A476DBE9F_13</vt:lpwstr>
  </property>
  <property fmtid="{D5CDD505-2E9C-101B-9397-08002B2CF9AE}" pid="4" name="KSOTemplateDocerSaveRecord">
    <vt:lpwstr>eyJoZGlkIjoiOTYwNGZiYWFmZDk0YWM2ZWVhN2M0YTFkOTA1ODdjMWEiLCJ1c2VySWQiOiI3MTU2MTUxODEifQ==</vt:lpwstr>
  </property>
</Properties>
</file>