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0"/>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9248"/>
      <w:r>
        <w:rPr>
          <w:rFonts w:hint="eastAsia" w:ascii="黑体" w:hAnsi="黑体" w:eastAsia="黑体" w:cs="黑体"/>
          <w:b w:val="0"/>
          <w:bCs/>
          <w:spacing w:val="-7"/>
          <w:sz w:val="32"/>
          <w:szCs w:val="18"/>
          <w:lang w:val="en-US" w:eastAsia="zh-CN"/>
        </w:rPr>
        <w:t>分体式激光甲烷变送器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WE-T238使用说明书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8-NB.pngT238-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8-NB.pngT238-NB"/>
                    <pic:cNvPicPr>
                      <a:picLocks noChangeAspect="1"/>
                    </pic:cNvPicPr>
                  </pic:nvPicPr>
                  <pic:blipFill>
                    <a:blip r:embed="rId41"/>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Pr>
        <w:jc w:val="center"/>
      </w:pPr>
    </w:p>
    <w:p w14:paraId="30A0120F"/>
    <w:p w14:paraId="37B32879"/>
    <w:p w14:paraId="101F94B7"/>
    <w:p w14:paraId="0CF7281B">
      <w:pPr>
        <w:ind w:left="0" w:leftChars="0" w:firstLine="0" w:firstLineChars="0"/>
      </w:pPr>
    </w:p>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T238</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T238</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099C4CC4">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5" w:type="firs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9143"/>
      <w:bookmarkStart w:id="2" w:name="_Toc5895"/>
      <w:bookmarkStart w:id="3" w:name="_Toc12915"/>
      <w:bookmarkStart w:id="4" w:name="_Toc21437"/>
      <w:bookmarkStart w:id="5" w:name="_Toc30858"/>
      <w:bookmarkStart w:id="6" w:name="_Toc26903"/>
      <w:bookmarkStart w:id="7" w:name="_Toc41996141"/>
      <w:bookmarkStart w:id="8" w:name="_Toc29297"/>
      <w:bookmarkStart w:id="9" w:name="_Toc7003"/>
      <w:bookmarkStart w:id="10" w:name="_Toc15930"/>
      <w:bookmarkStart w:id="11" w:name="_Toc17598"/>
      <w:bookmarkStart w:id="12" w:name="_Toc2326"/>
      <w:bookmarkStart w:id="13" w:name="_Toc18067"/>
      <w:bookmarkStart w:id="14" w:name="_Toc2551"/>
      <w:bookmarkStart w:id="15" w:name="_Toc7823"/>
      <w:bookmarkStart w:id="16" w:name="_Toc5581"/>
      <w:bookmarkStart w:id="17" w:name="_Toc28653"/>
      <w:bookmarkStart w:id="18" w:name="_Toc12294"/>
      <w:bookmarkStart w:id="19" w:name="_Toc11653"/>
      <w:bookmarkStart w:id="20" w:name="_Toc7640"/>
      <w:bookmarkStart w:id="21" w:name="_Toc28135"/>
      <w:bookmarkStart w:id="22" w:name="_Toc30832"/>
      <w:bookmarkStart w:id="23" w:name="_Toc22939"/>
      <w:bookmarkStart w:id="24" w:name="_Toc29042"/>
      <w:bookmarkStart w:id="25" w:name="_Toc20964"/>
      <w:bookmarkStart w:id="26" w:name="_Toc3490"/>
      <w:bookmarkStart w:id="27" w:name="_Toc16992"/>
      <w:bookmarkStart w:id="28" w:name="_Toc4151"/>
      <w:bookmarkStart w:id="29" w:name="_Toc10628"/>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3414"/>
      <w:bookmarkStart w:id="31" w:name="_Toc17441"/>
      <w:bookmarkStart w:id="32" w:name="_Toc18036"/>
      <w:bookmarkStart w:id="33" w:name="_Toc9267"/>
      <w:bookmarkStart w:id="34" w:name="_Toc2799"/>
      <w:bookmarkStart w:id="35" w:name="_Toc108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2883"/>
      <w:bookmarkStart w:id="37" w:name="_Toc14195"/>
      <w:bookmarkStart w:id="38" w:name="_Toc13604"/>
      <w:bookmarkStart w:id="39" w:name="_Toc3613"/>
      <w:bookmarkStart w:id="40" w:name="_Toc41996142"/>
      <w:bookmarkStart w:id="41" w:name="_Toc116"/>
      <w:bookmarkStart w:id="42" w:name="_Toc27473"/>
      <w:bookmarkStart w:id="43" w:name="_Toc8275"/>
      <w:bookmarkStart w:id="44" w:name="_Toc27291"/>
      <w:bookmarkStart w:id="45" w:name="_Toc25155"/>
      <w:bookmarkStart w:id="46" w:name="_Toc30640"/>
      <w:bookmarkStart w:id="47" w:name="_Toc29781"/>
      <w:bookmarkStart w:id="48" w:name="_Toc3639"/>
      <w:bookmarkStart w:id="49" w:name="_Toc6050"/>
      <w:bookmarkStart w:id="50" w:name="_Toc25903"/>
      <w:bookmarkStart w:id="51" w:name="_Toc15493"/>
      <w:bookmarkStart w:id="52" w:name="_Toc7143"/>
      <w:bookmarkStart w:id="53" w:name="_Toc27948"/>
      <w:bookmarkStart w:id="54" w:name="_Toc20946"/>
      <w:bookmarkStart w:id="55" w:name="_Toc30766"/>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4285"/>
      <w:bookmarkStart w:id="57" w:name="_Toc29408"/>
      <w:bookmarkStart w:id="58" w:name="_Toc18559"/>
      <w:bookmarkStart w:id="59" w:name="_Toc6181"/>
      <w:bookmarkStart w:id="60" w:name="_Toc19503"/>
      <w:bookmarkStart w:id="61" w:name="_Toc41996143"/>
      <w:bookmarkStart w:id="62" w:name="_Toc2253"/>
      <w:bookmarkStart w:id="63" w:name="_Toc21225"/>
      <w:bookmarkStart w:id="64" w:name="_Toc8121"/>
      <w:bookmarkStart w:id="65" w:name="_Toc9947"/>
      <w:bookmarkStart w:id="66" w:name="_Toc32096"/>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4374"/>
      <w:bookmarkStart w:id="68" w:name="_Toc2697"/>
      <w:bookmarkStart w:id="69" w:name="_Toc8382"/>
      <w:bookmarkStart w:id="70" w:name="_Toc17019"/>
      <w:bookmarkStart w:id="71" w:name="_Toc10100"/>
      <w:bookmarkStart w:id="72" w:name="_Toc5685"/>
      <w:bookmarkStart w:id="73" w:name="_Toc2963"/>
      <w:bookmarkStart w:id="74" w:name="_Toc10737"/>
      <w:bookmarkStart w:id="75" w:name="_Toc23281"/>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T238</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26</w:t>
      </w:r>
      <w:r>
        <w:rPr>
          <w:rFonts w:hint="eastAsia" w:ascii="Times New Roman" w:hAnsi="Times New Roman" w:eastAsia="宋体" w:cs="Times New Roman"/>
          <w:szCs w:val="18"/>
        </w:rPr>
        <w:t>年</w:t>
      </w:r>
      <w:r>
        <w:rPr>
          <w:rFonts w:hint="eastAsia" w:cs="Times New Roman"/>
          <w:szCs w:val="18"/>
          <w:lang w:val="en-US" w:eastAsia="zh-CN"/>
        </w:rPr>
        <w:t>6</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8565"/>
      <w:bookmarkStart w:id="77" w:name="_Toc7067"/>
      <w:bookmarkStart w:id="78" w:name="_Toc14420"/>
      <w:bookmarkStart w:id="79" w:name="_Toc27219"/>
      <w:bookmarkStart w:id="80" w:name="_Toc28736"/>
      <w:bookmarkStart w:id="81" w:name="_Toc24243"/>
      <w:bookmarkStart w:id="82" w:name="_Toc15579"/>
      <w:bookmarkStart w:id="83" w:name="_Toc20359"/>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激光甲烷变送器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65F9F587">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26604"/>
          <w:bookmarkStart w:id="85" w:name="_Toc17902"/>
          <w:bookmarkStart w:id="86" w:name="_Toc15274"/>
          <w:bookmarkStart w:id="87" w:name="_Toc24272"/>
          <w:bookmarkStart w:id="88" w:name="_Toc8158"/>
          <w:bookmarkStart w:id="89" w:name="_Toc16875"/>
          <w:bookmarkStart w:id="90" w:name="_Toc21763_WPSOffice_Level1"/>
          <w:bookmarkStart w:id="91" w:name="_Toc19467_WPSOffice_Level1"/>
          <w:bookmarkStart w:id="92" w:name="_Toc29456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2239CF3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_Toc29248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分体式激光甲烷变送器</w:t>
          </w:r>
          <w:r>
            <w:tab/>
          </w:r>
          <w:r>
            <w:fldChar w:fldCharType="begin"/>
          </w:r>
          <w:r>
            <w:instrText xml:space="preserve"> PAGEREF _Toc29248 \h </w:instrText>
          </w:r>
          <w:r>
            <w:fldChar w:fldCharType="separate"/>
          </w:r>
          <w:r>
            <w:t>1</w:t>
          </w:r>
          <w:r>
            <w:fldChar w:fldCharType="end"/>
          </w:r>
          <w:r>
            <w:rPr>
              <w:rFonts w:ascii="Times New Roman" w:hAnsi="Times New Roman" w:eastAsia="宋体" w:cs="Times New Roman"/>
            </w:rPr>
            <w:fldChar w:fldCharType="end"/>
          </w:r>
        </w:p>
        <w:p w14:paraId="49B0591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_Toc28653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_Toc28653 \h </w:instrText>
          </w:r>
          <w:r>
            <w:fldChar w:fldCharType="separate"/>
          </w:r>
          <w:r>
            <w:t>II</w:t>
          </w:r>
          <w:r>
            <w:fldChar w:fldCharType="end"/>
          </w:r>
          <w:r>
            <w:rPr>
              <w:rFonts w:ascii="Times New Roman" w:hAnsi="Times New Roman" w:eastAsia="宋体" w:cs="Times New Roman"/>
            </w:rPr>
            <w:fldChar w:fldCharType="end"/>
          </w:r>
        </w:p>
        <w:p w14:paraId="1A6E545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_Toc3639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_Toc3639 \h </w:instrText>
          </w:r>
          <w:r>
            <w:fldChar w:fldCharType="separate"/>
          </w:r>
          <w:r>
            <w:t>II</w:t>
          </w:r>
          <w:r>
            <w:fldChar w:fldCharType="end"/>
          </w:r>
          <w:r>
            <w:rPr>
              <w:rFonts w:ascii="Times New Roman" w:hAnsi="Times New Roman" w:eastAsia="宋体" w:cs="Times New Roman"/>
            </w:rPr>
            <w:fldChar w:fldCharType="end"/>
          </w:r>
        </w:p>
        <w:p w14:paraId="0B92138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_Toc2963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_Toc2963 \h </w:instrText>
          </w:r>
          <w:r>
            <w:fldChar w:fldCharType="separate"/>
          </w:r>
          <w:r>
            <w:t>II</w:t>
          </w:r>
          <w:r>
            <w:fldChar w:fldCharType="end"/>
          </w:r>
          <w:r>
            <w:rPr>
              <w:rFonts w:ascii="Times New Roman" w:hAnsi="Times New Roman" w:eastAsia="宋体" w:cs="Times New Roman"/>
            </w:rPr>
            <w:fldChar w:fldCharType="end"/>
          </w:r>
        </w:p>
        <w:p w14:paraId="5371A23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_Toc28736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_Toc28736 \h </w:instrText>
          </w:r>
          <w:r>
            <w:fldChar w:fldCharType="separate"/>
          </w:r>
          <w:r>
            <w:t>III</w:t>
          </w:r>
          <w:r>
            <w:fldChar w:fldCharType="end"/>
          </w:r>
          <w:r>
            <w:rPr>
              <w:rFonts w:ascii="Times New Roman" w:hAnsi="Times New Roman" w:eastAsia="宋体" w:cs="Times New Roman"/>
            </w:rPr>
            <w:fldChar w:fldCharType="end"/>
          </w:r>
        </w:p>
        <w:p w14:paraId="423E25D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_Toc15274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_Toc15274 \h </w:instrText>
          </w:r>
          <w:r>
            <w:fldChar w:fldCharType="separate"/>
          </w:r>
          <w:r>
            <w:t>IV</w:t>
          </w:r>
          <w:r>
            <w:fldChar w:fldCharType="end"/>
          </w:r>
          <w:r>
            <w:rPr>
              <w:rFonts w:ascii="Times New Roman" w:hAnsi="Times New Roman" w:eastAsia="宋体" w:cs="Times New Roman"/>
            </w:rPr>
            <w:fldChar w:fldCharType="end"/>
          </w:r>
        </w:p>
        <w:p w14:paraId="1327289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_Toc32268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_Toc32268 \h </w:instrText>
          </w:r>
          <w:r>
            <w:fldChar w:fldCharType="separate"/>
          </w:r>
          <w:r>
            <w:t>1</w:t>
          </w:r>
          <w:r>
            <w:fldChar w:fldCharType="end"/>
          </w:r>
          <w:r>
            <w:rPr>
              <w:rFonts w:ascii="Times New Roman" w:hAnsi="Times New Roman" w:eastAsia="宋体" w:cs="Times New Roman"/>
            </w:rPr>
            <w:fldChar w:fldCharType="end"/>
          </w:r>
        </w:p>
        <w:p w14:paraId="442AF1D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_Toc22067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_Toc22067 \h </w:instrText>
          </w:r>
          <w:r>
            <w:fldChar w:fldCharType="separate"/>
          </w:r>
          <w:r>
            <w:t>1</w:t>
          </w:r>
          <w:r>
            <w:fldChar w:fldCharType="end"/>
          </w:r>
          <w:r>
            <w:rPr>
              <w:rFonts w:ascii="Times New Roman" w:hAnsi="Times New Roman" w:eastAsia="宋体" w:cs="Times New Roman"/>
            </w:rPr>
            <w:fldChar w:fldCharType="end"/>
          </w:r>
        </w:p>
        <w:p w14:paraId="40550CB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_Toc2122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_Toc2122 \h </w:instrText>
          </w:r>
          <w:r>
            <w:fldChar w:fldCharType="separate"/>
          </w:r>
          <w:r>
            <w:t>1</w:t>
          </w:r>
          <w:r>
            <w:fldChar w:fldCharType="end"/>
          </w:r>
          <w:r>
            <w:rPr>
              <w:rFonts w:ascii="Times New Roman" w:hAnsi="Times New Roman" w:eastAsia="宋体" w:cs="Times New Roman"/>
            </w:rPr>
            <w:fldChar w:fldCharType="end"/>
          </w:r>
        </w:p>
        <w:p w14:paraId="30CDA30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_Toc14603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_Toc14603 \h </w:instrText>
          </w:r>
          <w:r>
            <w:fldChar w:fldCharType="separate"/>
          </w:r>
          <w:r>
            <w:t>2</w:t>
          </w:r>
          <w:r>
            <w:fldChar w:fldCharType="end"/>
          </w:r>
          <w:r>
            <w:rPr>
              <w:rFonts w:ascii="Times New Roman" w:hAnsi="Times New Roman" w:eastAsia="宋体" w:cs="Times New Roman"/>
            </w:rPr>
            <w:fldChar w:fldCharType="end"/>
          </w:r>
        </w:p>
        <w:p w14:paraId="159F40E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_Toc11687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_Toc11687 \h </w:instrText>
          </w:r>
          <w:r>
            <w:fldChar w:fldCharType="separate"/>
          </w:r>
          <w:r>
            <w:t>3</w:t>
          </w:r>
          <w:r>
            <w:fldChar w:fldCharType="end"/>
          </w:r>
          <w:r>
            <w:rPr>
              <w:rFonts w:ascii="Times New Roman" w:hAnsi="Times New Roman" w:eastAsia="宋体" w:cs="Times New Roman"/>
            </w:rPr>
            <w:fldChar w:fldCharType="end"/>
          </w:r>
        </w:p>
        <w:p w14:paraId="6A1181A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_Toc26476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_Toc26476 \h </w:instrText>
          </w:r>
          <w:r>
            <w:fldChar w:fldCharType="separate"/>
          </w:r>
          <w:r>
            <w:t>6</w:t>
          </w:r>
          <w:r>
            <w:fldChar w:fldCharType="end"/>
          </w:r>
          <w:r>
            <w:rPr>
              <w:rFonts w:ascii="Times New Roman" w:hAnsi="Times New Roman" w:eastAsia="宋体" w:cs="Times New Roman"/>
            </w:rPr>
            <w:fldChar w:fldCharType="end"/>
          </w:r>
        </w:p>
        <w:p w14:paraId="6A1E052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_Toc11971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_Toc11971 \h </w:instrText>
          </w:r>
          <w:r>
            <w:fldChar w:fldCharType="separate"/>
          </w:r>
          <w:r>
            <w:t>6</w:t>
          </w:r>
          <w:r>
            <w:fldChar w:fldCharType="end"/>
          </w:r>
          <w:r>
            <w:rPr>
              <w:rFonts w:ascii="Times New Roman" w:hAnsi="Times New Roman" w:eastAsia="宋体" w:cs="Times New Roman"/>
            </w:rPr>
            <w:fldChar w:fldCharType="end"/>
          </w:r>
        </w:p>
        <w:p w14:paraId="78B739F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_Toc2169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_Toc2169 \h </w:instrText>
          </w:r>
          <w:r>
            <w:fldChar w:fldCharType="separate"/>
          </w:r>
          <w:r>
            <w:t>6</w:t>
          </w:r>
          <w:r>
            <w:fldChar w:fldCharType="end"/>
          </w:r>
          <w:r>
            <w:rPr>
              <w:rFonts w:ascii="Times New Roman" w:hAnsi="Times New Roman" w:eastAsia="宋体" w:cs="Times New Roman"/>
            </w:rPr>
            <w:fldChar w:fldCharType="end"/>
          </w:r>
        </w:p>
        <w:p w14:paraId="01CB588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_Toc795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_Toc795 \h </w:instrText>
          </w:r>
          <w:r>
            <w:fldChar w:fldCharType="separate"/>
          </w:r>
          <w:r>
            <w:t>6</w:t>
          </w:r>
          <w:r>
            <w:fldChar w:fldCharType="end"/>
          </w:r>
          <w:r>
            <w:rPr>
              <w:rFonts w:ascii="Times New Roman" w:hAnsi="Times New Roman" w:eastAsia="宋体" w:cs="Times New Roman"/>
            </w:rPr>
            <w:fldChar w:fldCharType="end"/>
          </w:r>
        </w:p>
        <w:p w14:paraId="585CBB9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_Toc30485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_Toc30485 \h </w:instrText>
          </w:r>
          <w:r>
            <w:fldChar w:fldCharType="separate"/>
          </w:r>
          <w:r>
            <w:t>7</w:t>
          </w:r>
          <w:r>
            <w:fldChar w:fldCharType="end"/>
          </w:r>
          <w:r>
            <w:rPr>
              <w:rFonts w:ascii="Times New Roman" w:hAnsi="Times New Roman" w:eastAsia="宋体" w:cs="Times New Roman"/>
            </w:rPr>
            <w:fldChar w:fldCharType="end"/>
          </w:r>
        </w:p>
        <w:p w14:paraId="13E0974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_Toc15861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_Toc15861 \h </w:instrText>
          </w:r>
          <w:r>
            <w:fldChar w:fldCharType="separate"/>
          </w:r>
          <w:r>
            <w:t>7</w:t>
          </w:r>
          <w:r>
            <w:fldChar w:fldCharType="end"/>
          </w:r>
          <w:r>
            <w:rPr>
              <w:rFonts w:ascii="Times New Roman" w:hAnsi="Times New Roman" w:eastAsia="宋体" w:cs="Times New Roman"/>
            </w:rPr>
            <w:fldChar w:fldCharType="end"/>
          </w:r>
        </w:p>
        <w:p w14:paraId="3394BBA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_Toc21915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_Toc21915 \h </w:instrText>
          </w:r>
          <w:r>
            <w:fldChar w:fldCharType="separate"/>
          </w:r>
          <w:r>
            <w:t>7</w:t>
          </w:r>
          <w:r>
            <w:fldChar w:fldCharType="end"/>
          </w:r>
          <w:r>
            <w:rPr>
              <w:rFonts w:ascii="Times New Roman" w:hAnsi="Times New Roman" w:eastAsia="宋体" w:cs="Times New Roman"/>
            </w:rPr>
            <w:fldChar w:fldCharType="end"/>
          </w:r>
        </w:p>
        <w:p w14:paraId="331F8F5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_Toc3010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_Toc3010 \h </w:instrText>
          </w:r>
          <w:r>
            <w:fldChar w:fldCharType="separate"/>
          </w:r>
          <w:r>
            <w:t>7</w:t>
          </w:r>
          <w:r>
            <w:fldChar w:fldCharType="end"/>
          </w:r>
          <w:r>
            <w:rPr>
              <w:rFonts w:ascii="Times New Roman" w:hAnsi="Times New Roman" w:eastAsia="宋体" w:cs="Times New Roman"/>
            </w:rPr>
            <w:fldChar w:fldCharType="end"/>
          </w:r>
        </w:p>
        <w:p w14:paraId="3B58DA1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_Toc27699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_Toc27699 \h </w:instrText>
          </w:r>
          <w:r>
            <w:fldChar w:fldCharType="separate"/>
          </w:r>
          <w:r>
            <w:t>9</w:t>
          </w:r>
          <w:r>
            <w:fldChar w:fldCharType="end"/>
          </w:r>
          <w:r>
            <w:rPr>
              <w:rFonts w:ascii="Times New Roman" w:hAnsi="Times New Roman" w:eastAsia="宋体" w:cs="Times New Roman"/>
            </w:rPr>
            <w:fldChar w:fldCharType="end"/>
          </w:r>
        </w:p>
        <w:p w14:paraId="128C4B0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_Toc5024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_Toc5024 \h </w:instrText>
          </w:r>
          <w:r>
            <w:fldChar w:fldCharType="separate"/>
          </w:r>
          <w:r>
            <w:t>9</w:t>
          </w:r>
          <w:r>
            <w:fldChar w:fldCharType="end"/>
          </w:r>
          <w:r>
            <w:rPr>
              <w:rFonts w:ascii="Times New Roman" w:hAnsi="Times New Roman" w:eastAsia="宋体" w:cs="Times New Roman"/>
            </w:rPr>
            <w:fldChar w:fldCharType="end"/>
          </w:r>
        </w:p>
        <w:p w14:paraId="3685B60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_Toc3789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_Toc3789 \h </w:instrText>
          </w:r>
          <w:r>
            <w:fldChar w:fldCharType="separate"/>
          </w:r>
          <w:r>
            <w:t>12</w:t>
          </w:r>
          <w:r>
            <w:fldChar w:fldCharType="end"/>
          </w:r>
          <w:r>
            <w:rPr>
              <w:rFonts w:ascii="Times New Roman" w:hAnsi="Times New Roman" w:eastAsia="宋体" w:cs="Times New Roman"/>
            </w:rPr>
            <w:fldChar w:fldCharType="end"/>
          </w:r>
        </w:p>
        <w:p w14:paraId="4D5C64C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_Toc9693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_Toc9693 \h </w:instrText>
          </w:r>
          <w:r>
            <w:fldChar w:fldCharType="separate"/>
          </w:r>
          <w:r>
            <w:t>15</w:t>
          </w:r>
          <w:r>
            <w:fldChar w:fldCharType="end"/>
          </w:r>
          <w:r>
            <w:rPr>
              <w:rFonts w:ascii="Times New Roman" w:hAnsi="Times New Roman" w:eastAsia="宋体" w:cs="Times New Roman"/>
            </w:rPr>
            <w:fldChar w:fldCharType="end"/>
          </w:r>
        </w:p>
        <w:p w14:paraId="03666FD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_Toc28690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_Toc28690 \h </w:instrText>
          </w:r>
          <w:r>
            <w:fldChar w:fldCharType="separate"/>
          </w:r>
          <w:r>
            <w:t>18</w:t>
          </w:r>
          <w:r>
            <w:fldChar w:fldCharType="end"/>
          </w:r>
          <w:r>
            <w:rPr>
              <w:rFonts w:ascii="Times New Roman" w:hAnsi="Times New Roman" w:eastAsia="宋体" w:cs="Times New Roman"/>
            </w:rPr>
            <w:fldChar w:fldCharType="end"/>
          </w:r>
        </w:p>
        <w:p w14:paraId="68F4882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_Toc10161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_Toc10161 \h </w:instrText>
          </w:r>
          <w:r>
            <w:fldChar w:fldCharType="separate"/>
          </w:r>
          <w:r>
            <w:t>20</w:t>
          </w:r>
          <w:r>
            <w:fldChar w:fldCharType="end"/>
          </w:r>
          <w:r>
            <w:rPr>
              <w:rFonts w:ascii="Times New Roman" w:hAnsi="Times New Roman" w:eastAsia="宋体" w:cs="Times New Roman"/>
            </w:rPr>
            <w:fldChar w:fldCharType="end"/>
          </w:r>
        </w:p>
        <w:p w14:paraId="76E2F97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_Toc12494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_Toc12494 \h </w:instrText>
          </w:r>
          <w:r>
            <w:fldChar w:fldCharType="separate"/>
          </w:r>
          <w:r>
            <w:t>21</w:t>
          </w:r>
          <w:r>
            <w:fldChar w:fldCharType="end"/>
          </w:r>
          <w:r>
            <w:rPr>
              <w:rFonts w:ascii="Times New Roman" w:hAnsi="Times New Roman" w:eastAsia="宋体" w:cs="Times New Roman"/>
            </w:rPr>
            <w:fldChar w:fldCharType="end"/>
          </w:r>
        </w:p>
        <w:p w14:paraId="0A9DC46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_Toc28028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_Toc28028 \h </w:instrText>
          </w:r>
          <w:r>
            <w:fldChar w:fldCharType="separate"/>
          </w:r>
          <w:r>
            <w:t>23</w:t>
          </w:r>
          <w:r>
            <w:fldChar w:fldCharType="end"/>
          </w:r>
          <w:r>
            <w:rPr>
              <w:rFonts w:ascii="Times New Roman" w:hAnsi="Times New Roman" w:eastAsia="宋体" w:cs="Times New Roman"/>
            </w:rPr>
            <w:fldChar w:fldCharType="end"/>
          </w:r>
        </w:p>
        <w:p w14:paraId="0E84AE6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_Toc14229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_Toc14229 \h </w:instrText>
          </w:r>
          <w:r>
            <w:fldChar w:fldCharType="separate"/>
          </w:r>
          <w:r>
            <w:t>24</w:t>
          </w:r>
          <w:r>
            <w:fldChar w:fldCharType="end"/>
          </w:r>
          <w:r>
            <w:rPr>
              <w:rFonts w:ascii="Times New Roman" w:hAnsi="Times New Roman" w:eastAsia="宋体" w:cs="Times New Roman"/>
            </w:rPr>
            <w:fldChar w:fldCharType="end"/>
          </w:r>
        </w:p>
        <w:p w14:paraId="0738097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_Toc81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_Toc81 \h </w:instrText>
          </w:r>
          <w:r>
            <w:fldChar w:fldCharType="separate"/>
          </w:r>
          <w:r>
            <w:t>31</w:t>
          </w:r>
          <w:r>
            <w:fldChar w:fldCharType="end"/>
          </w:r>
          <w:r>
            <w:rPr>
              <w:rFonts w:ascii="Times New Roman" w:hAnsi="Times New Roman" w:eastAsia="宋体" w:cs="Times New Roman"/>
            </w:rPr>
            <w:fldChar w:fldCharType="end"/>
          </w:r>
        </w:p>
        <w:p w14:paraId="449ECD8D">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6"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32268"/>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22067"/>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25397_WPSOffice_Level2"/>
      <w:bookmarkStart w:id="96" w:name="_Toc897_WPSOffice_Level2"/>
      <w:bookmarkStart w:id="97" w:name="_Toc26576_WPSOffice_Level2"/>
      <w:bookmarkStart w:id="98" w:name="_Toc20995_WPSOffice_Level2"/>
      <w:bookmarkStart w:id="99" w:name="_Toc24924_WPSOffice_Level2"/>
      <w:bookmarkStart w:id="100" w:name="_Toc31468_WPSOffice_Level2"/>
      <w:r>
        <w:rPr>
          <w:rFonts w:hint="default" w:ascii="宋体" w:hAnsi="宋体" w:eastAsia="宋体" w:cs="宋体"/>
          <w:lang w:val="en-US" w:eastAsia="zh-CN"/>
        </w:rPr>
        <w:t>WE-</w:t>
      </w:r>
      <w:r>
        <w:rPr>
          <w:rFonts w:hint="eastAsia" w:ascii="宋体" w:hAnsi="宋体" w:cs="宋体"/>
          <w:lang w:val="en-US" w:eastAsia="zh-CN"/>
        </w:rPr>
        <w:t>T238</w:t>
      </w:r>
      <w:r>
        <w:rPr>
          <w:rFonts w:hint="eastAsia" w:ascii="宋体" w:hAnsi="宋体" w:eastAsia="宋体" w:cs="宋体"/>
          <w:lang w:val="en-US" w:eastAsia="zh-CN"/>
        </w:rPr>
        <w:t>型</w:t>
      </w:r>
      <w:r>
        <w:rPr>
          <w:rFonts w:hint="eastAsia" w:ascii="宋体" w:hAnsi="宋体" w:cs="宋体"/>
          <w:lang w:val="en-US" w:eastAsia="zh-CN"/>
        </w:rPr>
        <w:t>激光甲烷</w:t>
      </w:r>
      <w:r>
        <w:rPr>
          <w:rFonts w:hint="eastAsia" w:ascii="宋体" w:hAnsi="宋体" w:eastAsia="宋体" w:cs="宋体"/>
          <w:lang w:val="en-US" w:eastAsia="zh-CN"/>
        </w:rPr>
        <w:t>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供电。该变送器采用高性</w:t>
      </w:r>
      <w:r>
        <w:rPr>
          <w:rFonts w:hint="eastAsia" w:ascii="宋体" w:hAnsi="宋体" w:cs="宋体"/>
          <w:lang w:val="en-US" w:eastAsia="zh-CN"/>
        </w:rPr>
        <w:t>能气体分析</w:t>
      </w:r>
      <w:r>
        <w:rPr>
          <w:rFonts w:hint="eastAsia" w:ascii="宋体" w:hAnsi="宋体" w:eastAsia="宋体" w:cs="宋体"/>
          <w:lang w:val="en-US" w:eastAsia="zh-CN"/>
        </w:rPr>
        <w:t>的数字传感器，</w:t>
      </w:r>
      <w:r>
        <w:rPr>
          <w:rFonts w:hint="eastAsia" w:ascii="宋体" w:hAnsi="宋体" w:eastAsia="宋体" w:cs="宋体"/>
          <w:color w:val="000000"/>
          <w:kern w:val="0"/>
          <w:sz w:val="19"/>
          <w:szCs w:val="19"/>
          <w:lang w:val="en-US" w:eastAsia="zh-CN" w:bidi="ar"/>
        </w:rPr>
        <w:t>可在恶劣工况、复杂气体环境下稳定工作</w:t>
      </w:r>
      <w:r>
        <w:rPr>
          <w:rFonts w:hint="eastAsia" w:ascii="宋体" w:hAnsi="宋体" w:cs="宋体"/>
          <w:color w:val="000000"/>
          <w:kern w:val="0"/>
          <w:sz w:val="19"/>
          <w:szCs w:val="19"/>
          <w:lang w:val="en-US" w:eastAsia="zh-CN" w:bidi="ar"/>
        </w:rPr>
        <w:t>，</w:t>
      </w:r>
      <w:r>
        <w:rPr>
          <w:rFonts w:hint="eastAsia" w:ascii="宋体" w:hAnsi="宋体" w:eastAsia="宋体" w:cs="宋体"/>
          <w:lang w:val="en-US" w:eastAsia="zh-CN"/>
        </w:rPr>
        <w:t>确保了对现场</w:t>
      </w:r>
      <w:r>
        <w:rPr>
          <w:rFonts w:hint="eastAsia" w:ascii="宋体" w:hAnsi="宋体" w:cs="宋体"/>
          <w:lang w:val="en-US" w:eastAsia="zh-CN"/>
        </w:rPr>
        <w:t>甲烷气体浓度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甲烷气体浓度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工业环境监测。主要应用于地下管网、电力井盖、燃气井、工业燃气泄露监测。</w:t>
      </w:r>
      <w:r>
        <w:rPr>
          <w:rFonts w:hint="eastAsia" w:ascii="宋体" w:hAnsi="宋体" w:eastAsia="宋体" w:cs="宋体"/>
          <w:lang w:val="en-US" w:eastAsia="zh-CN"/>
        </w:rPr>
        <w:t>能够满足大多数工业应用对在线</w:t>
      </w:r>
      <w:r>
        <w:rPr>
          <w:rFonts w:hint="eastAsia" w:ascii="宋体" w:hAnsi="宋体" w:cs="宋体"/>
          <w:lang w:val="en-US" w:eastAsia="zh-CN"/>
        </w:rPr>
        <w:t>甲烷气体浓度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2122"/>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ascii="宋体" w:hAnsi="宋体" w:eastAsia="宋体" w:cs="宋体"/>
          <w:lang w:val="en-US" w:eastAsia="zh-CN"/>
        </w:rPr>
      </w:pPr>
      <w:r>
        <w:rPr>
          <w:rFonts w:hint="default" w:ascii="宋体" w:hAnsi="宋体" w:eastAsia="宋体" w:cs="宋体"/>
          <w:lang w:val="en-US" w:eastAsia="zh-CN"/>
        </w:rPr>
        <w:t>WE-</w:t>
      </w:r>
      <w:r>
        <w:rPr>
          <w:rFonts w:hint="eastAsia" w:ascii="宋体" w:hAnsi="宋体" w:cs="宋体"/>
          <w:lang w:val="en-US" w:eastAsia="zh-CN"/>
        </w:rPr>
        <w:t>T238</w:t>
      </w:r>
      <w:r>
        <w:rPr>
          <w:rFonts w:hint="eastAsia" w:ascii="宋体" w:hAnsi="宋体" w:eastAsia="宋体" w:cs="宋体"/>
          <w:lang w:val="en-US" w:eastAsia="zh-CN"/>
        </w:rPr>
        <w:t>型</w:t>
      </w:r>
      <w:r>
        <w:rPr>
          <w:rFonts w:hint="eastAsia" w:ascii="宋体" w:hAnsi="宋体" w:cs="宋体"/>
          <w:lang w:val="en-US" w:eastAsia="zh-CN"/>
        </w:rPr>
        <w:t>激光</w:t>
      </w:r>
      <w:r>
        <w:rPr>
          <w:rFonts w:hint="eastAsia"/>
          <w:lang w:val="en-US" w:eastAsia="zh-CN"/>
        </w:rPr>
        <w:t>甲烷变送器采</w:t>
      </w:r>
      <w:r>
        <w:rPr>
          <w:rFonts w:hint="eastAsia"/>
          <w:highlight w:val="none"/>
          <w:lang w:val="en-US" w:eastAsia="zh-CN"/>
        </w:rPr>
        <w:t>用</w:t>
      </w:r>
      <w:r>
        <w:rPr>
          <w:rFonts w:hint="eastAsia" w:ascii="宋体" w:hAnsi="宋体" w:eastAsia="宋体" w:cs="宋体"/>
          <w:lang w:val="en-US" w:eastAsia="zh-CN"/>
        </w:rPr>
        <w:t>激光甲烷传感器，其原理是基于可调谐激光吸收光谱技术。工作时激光光源发射特定波长的激光，随着注入周期性电流的调制，波长产生周期性变化，通过波长扫描使激光器输出中心波长为待测气体的吸收谱线，利用经过气体吸收得到的光谱强度信号等信息反演出待测气体的浓度。</w:t>
      </w:r>
    </w:p>
    <w:p w14:paraId="2510CCF2">
      <w:pPr>
        <w:keepNext w:val="0"/>
        <w:keepLines w:val="0"/>
        <w:widowControl/>
        <w:suppressLineNumbers w:val="0"/>
        <w:jc w:val="left"/>
        <w:rPr>
          <w:rFonts w:hint="eastAsia"/>
          <w:lang w:val="en-US" w:eastAsia="zh-CN"/>
        </w:rPr>
      </w:pPr>
      <w:r>
        <w:rPr>
          <w:rFonts w:hint="eastAsia"/>
          <w:lang w:val="en-US" w:eastAsia="zh-CN"/>
        </w:rPr>
        <w:t>激光甲烷变送器由一个激光甲烷传感器和一个变送器组成，通过电缆连接。当激光甲烷传感器采集到现场的甲烷气体浓度值后通过电缆传输至变送器。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14603"/>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21411_WPSOffice_Level2"/>
      <w:bookmarkStart w:id="104"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指示灯与按键，可以现场实时查看甲烷气体浓度值、报警信息、电量提示等。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1BEA3FD5">
      <w:pPr>
        <w:bidi w:val="0"/>
        <w:ind w:left="0" w:leftChars="0" w:firstLine="0" w:firstLineChars="0"/>
        <w:rPr>
          <w:rFonts w:hint="eastAsia" w:ascii="Times New Roman" w:hAnsi="Times New Roman" w:eastAsia="宋体"/>
          <w:lang w:val="en-US" w:eastAsia="zh-CN"/>
        </w:rPr>
        <w:sectPr>
          <w:headerReference r:id="rId9" w:type="first"/>
          <w:footerReference r:id="rId12" w:type="first"/>
          <w:headerReference r:id="rId7" w:type="default"/>
          <w:footerReference r:id="rId10" w:type="default"/>
          <w:headerReference r:id="rId8" w:type="even"/>
          <w:footerReference r:id="rId11"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11687"/>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606"/>
        <w:gridCol w:w="1047"/>
        <w:gridCol w:w="989"/>
        <w:gridCol w:w="606"/>
        <w:gridCol w:w="616"/>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hRule="atLeast"/>
          <w:jc w:val="center"/>
        </w:trPr>
        <w:tc>
          <w:tcPr>
            <w:tcW w:w="1120"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79"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甲烷气体CH4</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120"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79"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0~100%LEL</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 w:hRule="atLeast"/>
          <w:jc w:val="center"/>
        </w:trPr>
        <w:tc>
          <w:tcPr>
            <w:tcW w:w="1120"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79"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±5%LEL</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 w:hRule="atLeast"/>
          <w:jc w:val="center"/>
        </w:trPr>
        <w:tc>
          <w:tcPr>
            <w:tcW w:w="1120"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79"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0.1%LEL</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6" w:hRule="atLeast"/>
          <w:jc w:val="center"/>
        </w:trPr>
        <w:tc>
          <w:tcPr>
            <w:tcW w:w="1120"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79"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86" w:hRule="atLeast"/>
          <w:jc w:val="center"/>
        </w:trPr>
        <w:tc>
          <w:tcPr>
            <w:tcW w:w="1120"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79"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1120"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79"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120"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79"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7" w:hRule="atLeast"/>
          <w:jc w:val="center"/>
        </w:trPr>
        <w:tc>
          <w:tcPr>
            <w:tcW w:w="1120"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9"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9"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5"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jc w:val="center"/>
        </w:trPr>
        <w:tc>
          <w:tcPr>
            <w:tcW w:w="1120"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9"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9"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5"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 w:hRule="atLeast"/>
          <w:jc w:val="center"/>
        </w:trPr>
        <w:tc>
          <w:tcPr>
            <w:tcW w:w="1120"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79"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 w:hRule="atLeast"/>
          <w:jc w:val="center"/>
        </w:trPr>
        <w:tc>
          <w:tcPr>
            <w:tcW w:w="1120"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79"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1min~18h可设定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9" w:hRule="atLeast"/>
          <w:jc w:val="center"/>
        </w:trPr>
        <w:tc>
          <w:tcPr>
            <w:tcW w:w="1120"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79"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3" w:hRule="atLeast"/>
          <w:jc w:val="center"/>
        </w:trPr>
        <w:tc>
          <w:tcPr>
            <w:tcW w:w="1120"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79"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CN"/>
                <w:woUserID w:val="1"/>
              </w:rPr>
              <w:t>2</w:t>
            </w:r>
            <w:r>
              <w:rPr>
                <w:rFonts w:hint="eastAsia"/>
                <w:highlight w:val="none"/>
                <w:lang w:val="en-US" w:eastAsia="zh-CN"/>
              </w:rPr>
              <w:t>年</w:t>
            </w:r>
          </w:p>
          <w:p w14:paraId="6C606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4G：1年</w:t>
            </w:r>
          </w:p>
          <w:p w14:paraId="58CF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NB：1.7年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7" w:hRule="atLeast"/>
          <w:jc w:val="center"/>
        </w:trPr>
        <w:tc>
          <w:tcPr>
            <w:tcW w:w="1120"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79"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温度：（-25~55）℃，相对湿度：0%RH~98%RH（无凝结）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20"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存储环境</w:t>
            </w:r>
          </w:p>
        </w:tc>
        <w:tc>
          <w:tcPr>
            <w:tcW w:w="3879" w:type="pct"/>
            <w:gridSpan w:val="5"/>
            <w:vAlign w:val="center"/>
          </w:tcPr>
          <w:p w14:paraId="2D913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温度：（-40~85）℃，相对湿度：5%RH~95%RH（无凝结）</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20"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79"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0FF3834D">
      <w:pPr>
        <w:spacing w:line="240" w:lineRule="exact"/>
        <w:ind w:firstLine="361"/>
        <w:rPr>
          <w:rFonts w:hint="eastAsia" w:ascii="Times New Roman" w:hAnsi="Times New Roman" w:eastAsia="宋体" w:cs="Times New Roman"/>
          <w:b/>
          <w:bCs/>
          <w:szCs w:val="18"/>
        </w:rPr>
        <w:sectPr>
          <w:headerReference r:id="rId15" w:type="first"/>
          <w:headerReference r:id="rId13" w:type="default"/>
          <w:headerReference r:id="rId14"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26576_WPSOffice_Level1"/>
      <w:bookmarkStart w:id="107" w:name="_Toc5059_WPSOffice_Level1"/>
      <w:bookmarkStart w:id="108" w:name="_Toc897_WPSOffice_Level1"/>
      <w:bookmarkStart w:id="109" w:name="_Toc23137"/>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26476"/>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11971"/>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2"/>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2169"/>
      <w:r>
        <w:rPr>
          <w:rFonts w:hint="eastAsia"/>
          <w:b/>
          <w:bCs/>
          <w:lang w:val="en-US" w:eastAsia="zh-CN"/>
        </w:rPr>
        <w:t>连接线缆</w:t>
      </w:r>
      <w:bookmarkEnd w:id="112"/>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795"/>
      <w:r>
        <w:rPr>
          <w:rFonts w:hint="eastAsia" w:ascii="Times New Roman" w:hAnsi="Times New Roman" w:eastAsia="宋体"/>
          <w:b/>
          <w:bCs/>
          <w:lang w:val="en-US" w:eastAsia="zh-CN"/>
        </w:rPr>
        <w:t>材质</w:t>
      </w:r>
      <w:bookmarkEnd w:id="113"/>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探头外壳材质：不锈钢</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1F914E0A">
      <w:pPr>
        <w:ind w:left="0" w:leftChars="0" w:firstLine="0" w:firstLineChars="0"/>
        <w:rPr>
          <w:rFonts w:hint="eastAsia" w:ascii="Times New Roman" w:hAnsi="Times New Roman" w:eastAsia="宋体"/>
          <w:lang w:val="en-US" w:eastAsia="zh-CN"/>
        </w:rPr>
        <w:sectPr>
          <w:headerReference r:id="rId16" w:type="default"/>
          <w:headerReference r:id="rId1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30485"/>
      <w:r>
        <w:rPr>
          <w:rFonts w:hint="eastAsia" w:ascii="Times New Roman" w:hAnsi="Times New Roman" w:eastAsia="宋体"/>
          <w:b/>
          <w:sz w:val="21"/>
          <w:lang w:val="en-US" w:eastAsia="zh-CN"/>
        </w:rPr>
        <w:t>安装</w:t>
      </w:r>
      <w:bookmarkEnd w:id="106"/>
      <w:bookmarkEnd w:id="107"/>
      <w:bookmarkEnd w:id="108"/>
      <w:bookmarkEnd w:id="109"/>
      <w:bookmarkStart w:id="115" w:name="_Toc19936"/>
      <w:bookmarkStart w:id="116" w:name="_Toc23325"/>
      <w:bookmarkStart w:id="117" w:name="_Toc8102_WPSOffice_Level2"/>
      <w:bookmarkStart w:id="118" w:name="_Toc5895_WPSOffice_Level2"/>
      <w:bookmarkStart w:id="119" w:name="_Toc2997_WPSOffice_Level2"/>
      <w:r>
        <w:rPr>
          <w:rFonts w:hint="eastAsia"/>
          <w:b/>
          <w:sz w:val="21"/>
          <w:lang w:val="en-US" w:eastAsia="zh-CN"/>
        </w:rPr>
        <w:t>与使用</w:t>
      </w:r>
      <w:bookmarkEnd w:id="114"/>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9826"/>
      <w:bookmarkStart w:id="121" w:name="_Toc25939"/>
      <w:bookmarkStart w:id="122" w:name="_Toc15861"/>
      <w:r>
        <w:rPr>
          <w:rFonts w:hint="eastAsia" w:ascii="Times New Roman" w:hAnsi="Times New Roman" w:eastAsia="宋体"/>
          <w:lang w:val="en-US" w:eastAsia="zh-CN"/>
        </w:rPr>
        <w:t>到货检查</w:t>
      </w:r>
      <w:bookmarkEnd w:id="120"/>
      <w:bookmarkEnd w:id="121"/>
      <w:bookmarkEnd w:id="122"/>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3" w:name="_Toc21915"/>
      <w:bookmarkStart w:id="124" w:name="_Toc13983"/>
      <w:bookmarkStart w:id="125" w:name="_Toc22767"/>
      <w:r>
        <w:rPr>
          <w:rFonts w:hint="eastAsia"/>
          <w:highlight w:val="none"/>
          <w:lang w:val="en-US" w:eastAsia="zh-CN"/>
        </w:rPr>
        <w:t>安装使用注意</w:t>
      </w:r>
      <w:bookmarkEnd w:id="123"/>
      <w:bookmarkEnd w:id="124"/>
      <w:bookmarkEnd w:id="125"/>
    </w:p>
    <w:p w14:paraId="6D89041A">
      <w:pPr>
        <w:numPr>
          <w:ilvl w:val="0"/>
          <w:numId w:val="7"/>
        </w:numPr>
        <w:rPr>
          <w:rFonts w:hint="eastAsia" w:ascii="Times New Roman" w:hAnsi="Times New Roman" w:eastAsia="宋体"/>
          <w:highlight w:val="none"/>
          <w:lang w:val="en-US" w:eastAsia="zh-CN"/>
        </w:rPr>
      </w:pPr>
      <w:r>
        <w:rPr>
          <w:rFonts w:hint="eastAsia"/>
          <w:highlight w:val="none"/>
          <w:lang w:val="en-US" w:eastAsia="zh-CN"/>
        </w:rPr>
        <w:t>设备主机与传感器应该避免安装在震动源、冲击源处。</w:t>
      </w:r>
    </w:p>
    <w:p w14:paraId="6F42C238">
      <w:pPr>
        <w:numPr>
          <w:ilvl w:val="0"/>
          <w:numId w:val="7"/>
        </w:numPr>
        <w:rPr>
          <w:rFonts w:hint="eastAsia" w:ascii="Times New Roman" w:hAnsi="Times New Roman" w:eastAsia="宋体"/>
          <w:highlight w:val="none"/>
          <w:lang w:val="en-US" w:eastAsia="zh-CN"/>
        </w:rPr>
      </w:pPr>
      <w:r>
        <w:rPr>
          <w:rFonts w:hint="eastAsia" w:eastAsia="宋体"/>
          <w:highlight w:val="none"/>
          <w:lang w:val="en-US" w:eastAsia="zh-CN"/>
        </w:rPr>
        <w:t>传感器内部封胶，请勿随意拆卸，自行拆卸传感器会导致无法复原的损坏。</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6" w:name="_Toc21119"/>
      <w:bookmarkStart w:id="127" w:name="_Toc3010"/>
      <w:r>
        <w:rPr>
          <w:rFonts w:hint="eastAsia"/>
          <w:highlight w:val="none"/>
          <w:lang w:val="en-US" w:eastAsia="zh-CN"/>
        </w:rPr>
        <w:t>安装示意</w:t>
      </w:r>
      <w:bookmarkEnd w:id="126"/>
      <w:bookmarkEnd w:id="127"/>
    </w:p>
    <w:bookmarkEnd w:id="115"/>
    <w:bookmarkEnd w:id="116"/>
    <w:bookmarkEnd w:id="117"/>
    <w:bookmarkEnd w:id="118"/>
    <w:bookmarkEnd w:id="119"/>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p>
    <w:p w14:paraId="3B63F682">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17E2345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r>
        <w:rPr>
          <w:rFonts w:ascii="宋体" w:hAnsi="宋体" w:eastAsia="宋体" w:cs="宋体"/>
          <w:sz w:val="24"/>
          <w:szCs w:val="24"/>
        </w:rPr>
        <w:drawing>
          <wp:anchor distT="0" distB="0" distL="114300" distR="114300" simplePos="0" relativeHeight="251676672" behindDoc="0" locked="0" layoutInCell="1" allowOverlap="1">
            <wp:simplePos x="0" y="0"/>
            <wp:positionH relativeFrom="column">
              <wp:posOffset>342900</wp:posOffset>
            </wp:positionH>
            <wp:positionV relativeFrom="paragraph">
              <wp:posOffset>36195</wp:posOffset>
            </wp:positionV>
            <wp:extent cx="2305050" cy="1158240"/>
            <wp:effectExtent l="0" t="0" r="0" b="3810"/>
            <wp:wrapNone/>
            <wp:docPr id="2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IMG_256"/>
                    <pic:cNvPicPr>
                      <a:picLocks noChangeAspect="1"/>
                    </pic:cNvPicPr>
                  </pic:nvPicPr>
                  <pic:blipFill>
                    <a:blip r:embed="rId44"/>
                    <a:stretch>
                      <a:fillRect/>
                    </a:stretch>
                  </pic:blipFill>
                  <pic:spPr>
                    <a:xfrm>
                      <a:off x="0" y="0"/>
                      <a:ext cx="2305050" cy="1158240"/>
                    </a:xfrm>
                    <a:prstGeom prst="rect">
                      <a:avLst/>
                    </a:prstGeom>
                    <a:noFill/>
                    <a:ln w="9525">
                      <a:noFill/>
                    </a:ln>
                  </pic:spPr>
                </pic:pic>
              </a:graphicData>
            </a:graphic>
          </wp:anchor>
        </w:drawing>
      </w:r>
    </w:p>
    <w:p w14:paraId="15FC3C0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20BE1014">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090B734B">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4378927">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08BB3BE">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6883396C">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F4E1BC6">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2016D042">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8" w:type="default"/>
          <w:footerReference r:id="rId20" w:type="default"/>
          <w:headerReference r:id="rId19" w:type="even"/>
          <w:footerReference r:id="rId21"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7A549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8" w:name="_Toc27699"/>
      <w:r>
        <w:rPr>
          <w:rFonts w:hint="eastAsia" w:ascii="Times New Roman" w:hAnsi="Times New Roman" w:eastAsia="宋体"/>
          <w:b/>
          <w:sz w:val="21"/>
          <w:lang w:val="en-US" w:eastAsia="zh-CN"/>
        </w:rPr>
        <w:t>操作</w:t>
      </w:r>
      <w:bookmarkEnd w:id="128"/>
    </w:p>
    <w:p w14:paraId="27B9529C">
      <w:pPr>
        <w:pStyle w:val="3"/>
        <w:bidi w:val="0"/>
        <w:rPr>
          <w:rFonts w:hint="default"/>
          <w:lang w:val="en-US" w:eastAsia="zh-CN"/>
        </w:rPr>
      </w:pPr>
      <w:bookmarkStart w:id="129" w:name="_Toc5024"/>
      <w:r>
        <w:rPr>
          <w:rFonts w:hint="eastAsia"/>
          <w:lang w:val="en-US" w:eastAsia="zh-CN"/>
        </w:rPr>
        <w:t>显示与操作单元</w:t>
      </w:r>
      <w:bookmarkEnd w:id="129"/>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5"/>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甲烷浓度测量值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表示当前采集甲烷气体浓度值触发报警阈值</w:t>
      </w:r>
      <w:r>
        <w:rPr>
          <w:rFonts w:hint="default"/>
          <w:lang w:val="en-US" w:eastAsia="zh-CN"/>
        </w:rPr>
        <w:t>。</w:t>
      </w:r>
    </w:p>
    <w:p w14:paraId="5C275928">
      <w:pPr>
        <w:pStyle w:val="3"/>
        <w:bidi w:val="0"/>
        <w:ind w:left="567" w:hanging="567"/>
        <w:rPr>
          <w:rFonts w:hint="default"/>
          <w:lang w:val="en-US" w:eastAsia="zh-CN"/>
        </w:rPr>
      </w:pPr>
      <w:bookmarkStart w:id="130" w:name="_Toc3789"/>
      <w:r>
        <w:rPr>
          <w:rFonts w:hint="eastAsia"/>
          <w:lang w:val="en-US" w:eastAsia="zh-CN"/>
        </w:rPr>
        <w:t>现场操作</w:t>
      </w:r>
      <w:bookmarkEnd w:id="130"/>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6"/>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7"/>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49"/>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7"/>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0"/>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Calibration页面可对传感器进行校准。校准时需准备在甲烷浓度为零的环境中进行校准。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零点校准：将传感器放在甲烷浓度为零的环境中，待3~5分钟数值稳定后进行零点校准。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1"/>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LoRa：1-63</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eastAsia="宋体" w:cs="Times New Roman"/>
                <w:color w:val="auto"/>
                <w:sz w:val="18"/>
                <w:szCs w:val="18"/>
                <w:vertAlign w:val="baseline"/>
                <w:lang w:val="en-US" w:eastAsia="zh"/>
                <w:woUserID w:val="1"/>
              </w:rPr>
            </w:pPr>
            <w:r>
              <w:rPr>
                <w:rFonts w:hint="eastAsia" w:cs="Times New Roman"/>
                <w:color w:val="auto"/>
                <w:sz w:val="18"/>
                <w:szCs w:val="18"/>
                <w:vertAlign w:val="baseline"/>
                <w:lang w:val="en-US" w:eastAsia="zh-CN"/>
              </w:rPr>
              <w:t>RS485：1-</w:t>
            </w:r>
            <w:r>
              <w:rPr>
                <w:rFonts w:hint="eastAsia" w:cs="Times New Roman"/>
                <w:color w:val="auto"/>
                <w:sz w:val="18"/>
                <w:szCs w:val="18"/>
                <w:vertAlign w:val="baseline"/>
                <w:lang w:val="en-US" w:eastAsia="zh"/>
                <w:woUserID w:val="1"/>
              </w:rPr>
              <w:t>64</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 w:bidi="ar-SA"/>
                <w:woUserID w:val="1"/>
              </w:rPr>
            </w:pPr>
            <w:r>
              <w:rPr>
                <w:rFonts w:hint="eastAsia" w:cs="Times New Roman"/>
                <w:color w:val="auto"/>
                <w:sz w:val="18"/>
                <w:szCs w:val="18"/>
                <w:vertAlign w:val="baseline"/>
                <w:lang w:val="en-US" w:eastAsia="zh-CN"/>
              </w:rPr>
              <w:t>RS485：1-</w:t>
            </w:r>
            <w:r>
              <w:rPr>
                <w:rFonts w:hint="eastAsia" w:cs="Times New Roman"/>
                <w:color w:val="auto"/>
                <w:sz w:val="18"/>
                <w:szCs w:val="18"/>
                <w:vertAlign w:val="baseline"/>
                <w:lang w:val="en-US" w:eastAsia="zh"/>
                <w:woUserID w:val="1"/>
              </w:rPr>
              <w:t>64</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1"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2" w:name="_Toc9693"/>
      <w:r>
        <w:rPr>
          <w:rFonts w:hint="eastAsia"/>
          <w:lang w:val="en-US" w:eastAsia="zh-CN"/>
        </w:rPr>
        <w:t>设备</w:t>
      </w:r>
      <w:r>
        <w:rPr>
          <w:rFonts w:hint="eastAsia" w:ascii="Times New Roman" w:hAnsi="Times New Roman" w:eastAsia="宋体"/>
          <w:lang w:val="en-US" w:eastAsia="zh-CN"/>
        </w:rPr>
        <w:t>上云</w:t>
      </w:r>
      <w:bookmarkEnd w:id="131"/>
      <w:bookmarkEnd w:id="132"/>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2"/>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3"/>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4"/>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5"/>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6"/>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7"/>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3" w:name="_Toc28690"/>
      <w:r>
        <w:rPr>
          <w:rFonts w:hint="eastAsia"/>
          <w:lang w:val="en-US" w:eastAsia="zh-CN"/>
        </w:rPr>
        <w:t>设备本地蓝牙配置</w:t>
      </w:r>
      <w:bookmarkEnd w:id="133"/>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8"/>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9"/>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0"/>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4" w:name="_Toc10161"/>
      <w:r>
        <w:rPr>
          <w:rFonts w:hint="eastAsia" w:ascii="Times New Roman" w:hAnsi="Times New Roman" w:eastAsia="宋体"/>
          <w:lang w:val="en-US" w:eastAsia="zh-CN"/>
        </w:rPr>
        <w:t>使用注意事项</w:t>
      </w:r>
      <w:bookmarkEnd w:id="134"/>
    </w:p>
    <w:p w14:paraId="2ADF7D6C">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rPr>
          <w:rFonts w:hint="default"/>
          <w:lang w:val="en-US" w:eastAsia="zh-CN"/>
        </w:rPr>
      </w:pPr>
      <w:r>
        <w:t>本产品具备阈值即时上报功能</w:t>
      </w:r>
      <w:r>
        <w:rPr>
          <w:rFonts w:hint="eastAsia"/>
          <w:lang w:eastAsia="zh-CN"/>
        </w:rPr>
        <w:t>，</w:t>
      </w:r>
      <w:r>
        <w:t>在上报周期间隔中，如</w:t>
      </w:r>
      <w:r>
        <w:rPr>
          <w:rFonts w:hint="eastAsia"/>
          <w:lang w:val="en-US" w:eastAsia="zh-CN"/>
        </w:rPr>
        <w:t>果触发采集报警</w:t>
      </w:r>
      <w:r>
        <w:t>，将即时上报该组数据</w:t>
      </w:r>
      <w:r>
        <w:rPr>
          <w:rFonts w:hint="eastAsia"/>
          <w:lang w:eastAsia="zh-CN"/>
        </w:rPr>
        <w:t>。</w:t>
      </w:r>
      <w:r>
        <w:rPr>
          <w:rFonts w:hint="eastAsia"/>
          <w:lang w:val="en-US" w:eastAsia="zh-CN"/>
        </w:rPr>
        <w:t>报警</w:t>
      </w:r>
      <w:r>
        <w:t>阈值需提前设定</w:t>
      </w:r>
      <w:r>
        <w:rPr>
          <w:rFonts w:hint="eastAsia"/>
          <w:lang w:eastAsia="zh-CN"/>
        </w:rPr>
        <w:t>。</w:t>
      </w:r>
      <w:r>
        <w:rPr>
          <w:rFonts w:hint="eastAsia"/>
          <w:lang w:val="en-US" w:eastAsia="zh-CN"/>
        </w:rPr>
        <w:t>可根据实际使用工况设置采集周期、上报周期。</w:t>
      </w:r>
    </w:p>
    <w:p w14:paraId="27D301C9">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rPr>
          <w:rFonts w:hint="eastAsia"/>
          <w:lang w:eastAsia="zh-CN"/>
        </w:rPr>
        <w:sectPr>
          <w:headerReference r:id="rId24" w:type="first"/>
          <w:headerReference r:id="rId22" w:type="default"/>
          <w:footerReference r:id="rId25" w:type="default"/>
          <w:headerReference r:id="rId23" w:type="even"/>
          <w:footerReference r:id="rId26"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rPr>
          <w:rFonts w:hint="eastAsia" w:eastAsia="宋体"/>
          <w:lang w:val="en-US" w:eastAsia="zh-CN"/>
        </w:rPr>
        <w:t>产品在运输过程中，不允许受剧烈机械冲击和暴晒雨淋，严防摔掷、翻滚、重压</w:t>
      </w:r>
      <w:r>
        <w:rPr>
          <w:rFonts w:hint="eastAsia"/>
          <w:lang w:eastAsia="zh-CN"/>
        </w:rPr>
        <w:t>。</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12494"/>
      <w:r>
        <w:rPr>
          <w:rFonts w:hint="eastAsia" w:ascii="Times New Roman" w:hAnsi="Times New Roman" w:eastAsia="宋体"/>
          <w:b/>
          <w:sz w:val="21"/>
          <w:lang w:val="en-US" w:eastAsia="zh-CN"/>
        </w:rPr>
        <w:t>故障分析及排除</w:t>
      </w:r>
      <w:bookmarkEnd w:id="135"/>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激光甲烷变送器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197410AD">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7" w:type="default"/>
          <w:headerReference r:id="rId28"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6" w:name="_Toc28028"/>
      <w:r>
        <w:rPr>
          <w:rFonts w:hint="eastAsia" w:ascii="Times New Roman" w:hAnsi="Times New Roman" w:eastAsia="宋体"/>
          <w:b/>
          <w:sz w:val="21"/>
          <w:lang w:val="en-US" w:eastAsia="zh-CN"/>
        </w:rPr>
        <w:t>质保及售后服务</w:t>
      </w:r>
      <w:bookmarkEnd w:id="136"/>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6328CDC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29" w:type="default"/>
          <w:headerReference r:id="rId30"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7" w:name="_Toc22776"/>
      <w:bookmarkStart w:id="138" w:name="_Toc3977"/>
      <w:bookmarkStart w:id="139" w:name="_Toc2118"/>
      <w:bookmarkStart w:id="140" w:name="_Toc14229"/>
      <w:r>
        <w:rPr>
          <w:rFonts w:hint="eastAsia"/>
          <w:b/>
          <w:sz w:val="21"/>
          <w:lang w:val="en-US" w:eastAsia="zh-CN"/>
        </w:rPr>
        <w:t>附录 数据通信</w:t>
      </w:r>
      <w:bookmarkEnd w:id="137"/>
      <w:bookmarkEnd w:id="138"/>
      <w:bookmarkEnd w:id="139"/>
      <w:bookmarkEnd w:id="140"/>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3.寄存器地址</w:t>
      </w: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3"/>
        <w:gridCol w:w="2297"/>
        <w:gridCol w:w="1709"/>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F18AE4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(16进制)</w:t>
            </w:r>
          </w:p>
        </w:tc>
        <w:tc>
          <w:tcPr>
            <w:tcW w:w="2307"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5"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5"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5"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5"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5"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p w14:paraId="1C2324A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 w:bidi="ar"/>
                <w:woUserID w:val="1"/>
              </w:rPr>
            </w:pPr>
            <w:r>
              <w:rPr>
                <w:rFonts w:hint="eastAsia" w:ascii="宋体" w:hAnsi="宋体" w:cs="宋体"/>
                <w:i w:val="0"/>
                <w:iCs w:val="0"/>
                <w:color w:val="000000"/>
                <w:kern w:val="0"/>
                <w:sz w:val="18"/>
                <w:szCs w:val="18"/>
                <w:u w:val="none"/>
                <w:lang w:val="en-US" w:eastAsia="zh" w:bidi="ar"/>
                <w:woUserID w:val="1"/>
              </w:rPr>
              <w:t>单位：℃</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07"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E917B6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单位：ppm</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07"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81F763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74A068E4">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6"/>
        <w:gridCol w:w="1555"/>
        <w:gridCol w:w="245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3795F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6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0C41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woUserID w:val="1"/>
              </w:rPr>
            </w:pPr>
            <w:r>
              <w:rPr>
                <w:rFonts w:hint="eastAsia" w:ascii="宋体" w:hAnsi="宋体" w:eastAsia="宋体" w:cs="宋体"/>
                <w:i w:val="0"/>
                <w:iCs w:val="0"/>
                <w:color w:val="000000"/>
                <w:kern w:val="0"/>
                <w:sz w:val="18"/>
                <w:szCs w:val="18"/>
                <w:u w:val="none"/>
                <w:lang w:val="en-US" w:eastAsia="zh-CN" w:bidi="ar"/>
                <w:woUserID w:val="1"/>
              </w:rPr>
              <w:t>地址</w:t>
            </w:r>
          </w:p>
          <w:p w14:paraId="4A4B450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sz w:val="18"/>
                <w:szCs w:val="18"/>
                <w:u w:val="none"/>
                <w:lang w:val="en-US"/>
                <w:woUserID w:val="1"/>
              </w:rPr>
            </w:pPr>
            <w:r>
              <w:rPr>
                <w:rFonts w:hint="eastAsia" w:ascii="宋体" w:hAnsi="宋体" w:cs="宋体"/>
                <w:i w:val="0"/>
                <w:iCs w:val="0"/>
                <w:color w:val="000000"/>
                <w:kern w:val="0"/>
                <w:sz w:val="18"/>
                <w:szCs w:val="18"/>
                <w:u w:val="none"/>
                <w:lang w:val="en-US" w:eastAsia="zh-CN" w:bidi="ar"/>
                <w:woUserID w:val="1"/>
              </w:rPr>
              <w:t>(16进制)</w:t>
            </w:r>
          </w:p>
        </w:tc>
        <w:tc>
          <w:tcPr>
            <w:tcW w:w="155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AA53AE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woUserID w:val="1"/>
              </w:rPr>
            </w:pPr>
            <w:r>
              <w:rPr>
                <w:rFonts w:hint="eastAsia" w:ascii="宋体" w:hAnsi="宋体" w:eastAsia="宋体" w:cs="宋体"/>
                <w:i w:val="0"/>
                <w:iCs w:val="0"/>
                <w:color w:val="000000"/>
                <w:kern w:val="0"/>
                <w:sz w:val="18"/>
                <w:szCs w:val="18"/>
                <w:u w:val="none"/>
                <w:lang w:val="en-US" w:eastAsia="zh-CN" w:bidi="ar"/>
                <w:woUserID w:val="1"/>
              </w:rPr>
              <w:t>说明</w:t>
            </w:r>
          </w:p>
        </w:tc>
        <w:tc>
          <w:tcPr>
            <w:tcW w:w="245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7BEB39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woUserID w:val="1"/>
              </w:rPr>
            </w:pPr>
            <w:r>
              <w:rPr>
                <w:rFonts w:hint="eastAsia" w:ascii="宋体" w:hAnsi="宋体" w:eastAsia="宋体" w:cs="宋体"/>
                <w:i w:val="0"/>
                <w:iCs w:val="0"/>
                <w:color w:val="000000"/>
                <w:kern w:val="0"/>
                <w:sz w:val="18"/>
                <w:szCs w:val="18"/>
                <w:u w:val="none"/>
                <w:lang w:val="en-US" w:eastAsia="zh-CN" w:bidi="ar"/>
                <w:woUserID w:val="1"/>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 w:bidi="ar"/>
                <w:woUserID w:val="1"/>
              </w:rPr>
            </w:pPr>
            <w:r>
              <w:rPr>
                <w:rFonts w:hint="eastAsia" w:ascii="宋体" w:hAnsi="宋体" w:cs="宋体"/>
                <w:i w:val="0"/>
                <w:iCs w:val="0"/>
                <w:color w:val="000000"/>
                <w:kern w:val="0"/>
                <w:sz w:val="18"/>
                <w:szCs w:val="18"/>
                <w:u w:val="none"/>
                <w:lang w:val="en-US" w:eastAsia="zh" w:bidi="ar"/>
                <w:woUserID w:val="1"/>
              </w:rPr>
              <w:t>单位s</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高阈值高位</w:t>
            </w:r>
          </w:p>
        </w:tc>
        <w:tc>
          <w:tcPr>
            <w:tcW w:w="2458" w:type="dxa"/>
            <w:vMerge w:val="restart"/>
            <w:tcBorders>
              <w:top w:val="single" w:color="000000" w:sz="4" w:space="0"/>
              <w:left w:val="single" w:color="000000" w:sz="4" w:space="0"/>
              <w:right w:val="single" w:color="000000" w:sz="4" w:space="0"/>
            </w:tcBorders>
            <w:shd w:val="clear" w:color="auto" w:fill="auto"/>
            <w:vAlign w:val="center"/>
          </w:tcPr>
          <w:p w14:paraId="0BB27D6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ppm，默认25000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高阈值低位</w:t>
            </w:r>
          </w:p>
        </w:tc>
        <w:tc>
          <w:tcPr>
            <w:tcW w:w="245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低阈值高位</w:t>
            </w:r>
          </w:p>
        </w:tc>
        <w:tc>
          <w:tcPr>
            <w:tcW w:w="2458" w:type="dxa"/>
            <w:vMerge w:val="restart"/>
            <w:tcBorders>
              <w:top w:val="single" w:color="000000" w:sz="4" w:space="0"/>
              <w:left w:val="single" w:color="000000" w:sz="4" w:space="0"/>
              <w:right w:val="single" w:color="000000" w:sz="4" w:space="0"/>
            </w:tcBorders>
            <w:shd w:val="clear" w:color="auto" w:fill="auto"/>
            <w:vAlign w:val="center"/>
          </w:tcPr>
          <w:p w14:paraId="01B19F7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低阈值低位</w:t>
            </w:r>
          </w:p>
        </w:tc>
        <w:tc>
          <w:tcPr>
            <w:tcW w:w="245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高限值高位</w:t>
            </w:r>
          </w:p>
        </w:tc>
        <w:tc>
          <w:tcPr>
            <w:tcW w:w="2458" w:type="dxa"/>
            <w:vMerge w:val="restart"/>
            <w:tcBorders>
              <w:top w:val="single" w:color="000000" w:sz="4" w:space="0"/>
              <w:left w:val="single" w:color="000000" w:sz="4" w:space="0"/>
              <w:right w:val="single" w:color="000000" w:sz="4" w:space="0"/>
            </w:tcBorders>
            <w:shd w:val="clear" w:color="auto" w:fill="auto"/>
            <w:noWrap/>
            <w:vAlign w:val="center"/>
          </w:tcPr>
          <w:p w14:paraId="367B81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高限值低位</w:t>
            </w:r>
          </w:p>
        </w:tc>
        <w:tc>
          <w:tcPr>
            <w:tcW w:w="245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低限值高位</w:t>
            </w:r>
          </w:p>
        </w:tc>
        <w:tc>
          <w:tcPr>
            <w:tcW w:w="2458" w:type="dxa"/>
            <w:vMerge w:val="restart"/>
            <w:tcBorders>
              <w:top w:val="single" w:color="000000" w:sz="4" w:space="0"/>
              <w:left w:val="single" w:color="000000" w:sz="4" w:space="0"/>
              <w:right w:val="single" w:color="000000" w:sz="4" w:space="0"/>
            </w:tcBorders>
            <w:shd w:val="clear" w:color="auto" w:fill="auto"/>
            <w:noWrap/>
            <w:vAlign w:val="center"/>
          </w:tcPr>
          <w:p w14:paraId="58834C1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甲烷</w:t>
            </w:r>
            <w:r>
              <w:rPr>
                <w:rFonts w:hint="eastAsia" w:ascii="宋体" w:hAnsi="宋体" w:eastAsia="宋体" w:cs="宋体"/>
                <w:i w:val="0"/>
                <w:iCs w:val="0"/>
                <w:color w:val="000000"/>
                <w:kern w:val="0"/>
                <w:sz w:val="18"/>
                <w:szCs w:val="18"/>
                <w:u w:val="none"/>
                <w:lang w:val="en-US" w:eastAsia="zh-CN" w:bidi="ar"/>
              </w:rPr>
              <w:t>低限值低位</w:t>
            </w:r>
          </w:p>
        </w:tc>
        <w:tc>
          <w:tcPr>
            <w:tcW w:w="245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显示甲烷</w:t>
            </w:r>
            <w:r>
              <w:rPr>
                <w:rFonts w:hint="eastAsia" w:ascii="宋体" w:hAnsi="宋体" w:eastAsia="宋体" w:cs="宋体"/>
                <w:i w:val="0"/>
                <w:iCs w:val="0"/>
                <w:color w:val="000000"/>
                <w:kern w:val="0"/>
                <w:sz w:val="18"/>
                <w:szCs w:val="18"/>
                <w:u w:val="none"/>
                <w:lang w:val="en-US" w:eastAsia="zh-CN" w:bidi="ar"/>
              </w:rPr>
              <w:t>单位</w:t>
            </w:r>
          </w:p>
        </w:tc>
        <w:tc>
          <w:tcPr>
            <w:tcW w:w="2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435596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1：%LEL</w:t>
            </w:r>
          </w:p>
          <w:p w14:paraId="6DAD7FC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eastAsia" w:ascii="宋体" w:hAnsi="宋体" w:cs="宋体"/>
                <w:i w:val="0"/>
                <w:iCs w:val="0"/>
                <w:color w:val="000000"/>
                <w:kern w:val="0"/>
                <w:sz w:val="18"/>
                <w:szCs w:val="18"/>
                <w:u w:val="none"/>
                <w:lang w:val="en-US" w:eastAsia="zh-CN" w:bidi="ar"/>
              </w:rPr>
              <w:t>1：%LEL</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217514E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甲烷</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甲烷</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甲烷浓度高于高阈值报警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1688ECE5">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bookmarkStart w:id="142" w:name="_GoBack"/>
      <w:bookmarkEnd w:id="142"/>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甲烷浓度低于下限</w:t>
            </w:r>
          </w:p>
        </w:tc>
      </w:tr>
    </w:tbl>
    <w:p w14:paraId="4F56932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1" w:type="default"/>
          <w:headerReference r:id="rId3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1" w:name="_Toc81"/>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1"/>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T238</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T238</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w:t>
      </w:r>
      <w:r>
        <w:rPr>
          <w:rFonts w:hint="eastAsia"/>
          <w:lang w:val="en-US" w:eastAsia="zh-CN"/>
        </w:rPr>
        <w:t>激光甲烷</w:t>
      </w:r>
      <w:r>
        <w:rPr>
          <w:rFonts w:hint="eastAsia" w:ascii="Times New Roman" w:hAnsi="Times New Roman" w:eastAsia="宋体"/>
          <w:lang w:val="en-US" w:eastAsia="zh-CN"/>
        </w:rPr>
        <w:t>变送器，电池供电</w:t>
      </w:r>
    </w:p>
    <w:p w14:paraId="00942E3E">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3" w:type="default"/>
          <w:headerReference r:id="rId34"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0"/>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1"/>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5" w:type="default"/>
      <w:footerReference r:id="rId37" w:type="default"/>
      <w:headerReference r:id="rId36" w:type="even"/>
      <w:footerReference r:id="rId38"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3870C59"/>
    <w:rsid w:val="03E84046"/>
    <w:rsid w:val="0530678A"/>
    <w:rsid w:val="055458EA"/>
    <w:rsid w:val="05812B41"/>
    <w:rsid w:val="06142C25"/>
    <w:rsid w:val="063C2A27"/>
    <w:rsid w:val="069E423A"/>
    <w:rsid w:val="072F4F4B"/>
    <w:rsid w:val="0774295E"/>
    <w:rsid w:val="07CC2F6B"/>
    <w:rsid w:val="08355A9E"/>
    <w:rsid w:val="08437A19"/>
    <w:rsid w:val="0B093D05"/>
    <w:rsid w:val="0B734C98"/>
    <w:rsid w:val="0C3E7B23"/>
    <w:rsid w:val="0D9F77C7"/>
    <w:rsid w:val="0E0F1632"/>
    <w:rsid w:val="0E121D8E"/>
    <w:rsid w:val="0E52151F"/>
    <w:rsid w:val="0E751CC7"/>
    <w:rsid w:val="0E8E7BE4"/>
    <w:rsid w:val="0EBD5EF0"/>
    <w:rsid w:val="0F430E61"/>
    <w:rsid w:val="0F7B1F2F"/>
    <w:rsid w:val="101A7019"/>
    <w:rsid w:val="10463305"/>
    <w:rsid w:val="10822D43"/>
    <w:rsid w:val="1164635D"/>
    <w:rsid w:val="1174359A"/>
    <w:rsid w:val="11EA5DC8"/>
    <w:rsid w:val="12BC340B"/>
    <w:rsid w:val="13F422A1"/>
    <w:rsid w:val="14A86F74"/>
    <w:rsid w:val="158A3C94"/>
    <w:rsid w:val="1B99078D"/>
    <w:rsid w:val="1C8962AD"/>
    <w:rsid w:val="1C912B6A"/>
    <w:rsid w:val="1E285DF8"/>
    <w:rsid w:val="1FB91598"/>
    <w:rsid w:val="1FD426AE"/>
    <w:rsid w:val="203B5995"/>
    <w:rsid w:val="205D447F"/>
    <w:rsid w:val="20A65DD3"/>
    <w:rsid w:val="222B1769"/>
    <w:rsid w:val="22B468A5"/>
    <w:rsid w:val="230C7639"/>
    <w:rsid w:val="238A3FE8"/>
    <w:rsid w:val="24634697"/>
    <w:rsid w:val="25380D99"/>
    <w:rsid w:val="25753EE9"/>
    <w:rsid w:val="26885998"/>
    <w:rsid w:val="26B97F82"/>
    <w:rsid w:val="28F72F97"/>
    <w:rsid w:val="293E0BC6"/>
    <w:rsid w:val="29476D78"/>
    <w:rsid w:val="299E171E"/>
    <w:rsid w:val="2A126149"/>
    <w:rsid w:val="2A6C2BED"/>
    <w:rsid w:val="2C33629D"/>
    <w:rsid w:val="2C842721"/>
    <w:rsid w:val="2CC71C05"/>
    <w:rsid w:val="2CDC2FB5"/>
    <w:rsid w:val="2EC13E2B"/>
    <w:rsid w:val="2FE21A1D"/>
    <w:rsid w:val="306D74E0"/>
    <w:rsid w:val="30B82700"/>
    <w:rsid w:val="30BD34B2"/>
    <w:rsid w:val="311D7312"/>
    <w:rsid w:val="31482F15"/>
    <w:rsid w:val="31483202"/>
    <w:rsid w:val="31891F04"/>
    <w:rsid w:val="31C64BB0"/>
    <w:rsid w:val="31CF6BC1"/>
    <w:rsid w:val="32140715"/>
    <w:rsid w:val="324441C8"/>
    <w:rsid w:val="32AC70A5"/>
    <w:rsid w:val="32BC7672"/>
    <w:rsid w:val="334548C7"/>
    <w:rsid w:val="33DA8F8D"/>
    <w:rsid w:val="34142C4F"/>
    <w:rsid w:val="35B53EAD"/>
    <w:rsid w:val="35C47CDD"/>
    <w:rsid w:val="36406F2D"/>
    <w:rsid w:val="3654168E"/>
    <w:rsid w:val="377C2217"/>
    <w:rsid w:val="39111E53"/>
    <w:rsid w:val="39C3314D"/>
    <w:rsid w:val="39EB140E"/>
    <w:rsid w:val="3B7F4E52"/>
    <w:rsid w:val="3C9D0326"/>
    <w:rsid w:val="3CDE7541"/>
    <w:rsid w:val="3D7F382F"/>
    <w:rsid w:val="3E251EC1"/>
    <w:rsid w:val="3FCC4001"/>
    <w:rsid w:val="3FFF0475"/>
    <w:rsid w:val="406D219C"/>
    <w:rsid w:val="41322966"/>
    <w:rsid w:val="4235270E"/>
    <w:rsid w:val="43257C09"/>
    <w:rsid w:val="4337057B"/>
    <w:rsid w:val="433E7700"/>
    <w:rsid w:val="447E0A08"/>
    <w:rsid w:val="46C202E8"/>
    <w:rsid w:val="46D2412E"/>
    <w:rsid w:val="47CD163B"/>
    <w:rsid w:val="482D0EBE"/>
    <w:rsid w:val="48320D42"/>
    <w:rsid w:val="48A779B6"/>
    <w:rsid w:val="48FD47D9"/>
    <w:rsid w:val="49060563"/>
    <w:rsid w:val="49660E46"/>
    <w:rsid w:val="499626E6"/>
    <w:rsid w:val="4AD94B37"/>
    <w:rsid w:val="4B570322"/>
    <w:rsid w:val="4C7A0C69"/>
    <w:rsid w:val="4E1F2DB4"/>
    <w:rsid w:val="4FD60865"/>
    <w:rsid w:val="50735531"/>
    <w:rsid w:val="51C5066C"/>
    <w:rsid w:val="52EE43CD"/>
    <w:rsid w:val="531059C7"/>
    <w:rsid w:val="53E27924"/>
    <w:rsid w:val="53F71FB7"/>
    <w:rsid w:val="54DC7CC1"/>
    <w:rsid w:val="568B06F7"/>
    <w:rsid w:val="576613F2"/>
    <w:rsid w:val="5922193C"/>
    <w:rsid w:val="59AA5F42"/>
    <w:rsid w:val="5A124F02"/>
    <w:rsid w:val="5A422B6B"/>
    <w:rsid w:val="5A757046"/>
    <w:rsid w:val="5ABC5689"/>
    <w:rsid w:val="5E304F6C"/>
    <w:rsid w:val="5E641A3D"/>
    <w:rsid w:val="5E8B2479"/>
    <w:rsid w:val="5F555D83"/>
    <w:rsid w:val="5FD3241A"/>
    <w:rsid w:val="5FDA100E"/>
    <w:rsid w:val="60175568"/>
    <w:rsid w:val="63A177AC"/>
    <w:rsid w:val="653914E4"/>
    <w:rsid w:val="668B6AFA"/>
    <w:rsid w:val="66CD4D5B"/>
    <w:rsid w:val="671F29FF"/>
    <w:rsid w:val="68AB4C28"/>
    <w:rsid w:val="68C31058"/>
    <w:rsid w:val="68C42938"/>
    <w:rsid w:val="69B96DDD"/>
    <w:rsid w:val="69DC778F"/>
    <w:rsid w:val="6A2E60C6"/>
    <w:rsid w:val="6AB90D77"/>
    <w:rsid w:val="6AEA599F"/>
    <w:rsid w:val="6B2F5EBA"/>
    <w:rsid w:val="6BDE2736"/>
    <w:rsid w:val="6C6F4534"/>
    <w:rsid w:val="6DF40E20"/>
    <w:rsid w:val="6E664271"/>
    <w:rsid w:val="6F386377"/>
    <w:rsid w:val="6F9475B3"/>
    <w:rsid w:val="71CC5549"/>
    <w:rsid w:val="724C19BF"/>
    <w:rsid w:val="725D3684"/>
    <w:rsid w:val="72BD7A32"/>
    <w:rsid w:val="734B7749"/>
    <w:rsid w:val="75696AA7"/>
    <w:rsid w:val="7614272B"/>
    <w:rsid w:val="76CC46E8"/>
    <w:rsid w:val="77BA1CCC"/>
    <w:rsid w:val="7A102B3D"/>
    <w:rsid w:val="7A5C270A"/>
    <w:rsid w:val="7A7F8402"/>
    <w:rsid w:val="7AA96FB0"/>
    <w:rsid w:val="7D333351"/>
    <w:rsid w:val="7D63792D"/>
    <w:rsid w:val="7FF64583"/>
    <w:rsid w:val="BF7EB975"/>
    <w:rsid w:val="DD3B3A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4" Type="http://schemas.openxmlformats.org/officeDocument/2006/relationships/fontTable" Target="fontTable.xml"/><Relationship Id="rId63" Type="http://schemas.openxmlformats.org/officeDocument/2006/relationships/numbering" Target="numbering.xml"/><Relationship Id="rId62" Type="http://schemas.openxmlformats.org/officeDocument/2006/relationships/customXml" Target="../customXml/item1.xml"/><Relationship Id="rId61" Type="http://schemas.openxmlformats.org/officeDocument/2006/relationships/image" Target="media/image22.jpeg"/><Relationship Id="rId60" Type="http://schemas.openxmlformats.org/officeDocument/2006/relationships/image" Target="media/image21.png"/><Relationship Id="rId6" Type="http://schemas.openxmlformats.org/officeDocument/2006/relationships/footer" Target="footer2.xml"/><Relationship Id="rId59" Type="http://schemas.openxmlformats.org/officeDocument/2006/relationships/image" Target="media/image20.png"/><Relationship Id="rId58" Type="http://schemas.openxmlformats.org/officeDocument/2006/relationships/image" Target="media/image19.png"/><Relationship Id="rId57" Type="http://schemas.openxmlformats.org/officeDocument/2006/relationships/image" Target="media/image18.png"/><Relationship Id="rId56" Type="http://schemas.openxmlformats.org/officeDocument/2006/relationships/image" Target="media/image17.png"/><Relationship Id="rId55" Type="http://schemas.openxmlformats.org/officeDocument/2006/relationships/image" Target="media/image16.png"/><Relationship Id="rId54" Type="http://schemas.openxmlformats.org/officeDocument/2006/relationships/image" Target="media/image15.png"/><Relationship Id="rId53" Type="http://schemas.openxmlformats.org/officeDocument/2006/relationships/image" Target="media/image14.png"/><Relationship Id="rId52" Type="http://schemas.openxmlformats.org/officeDocument/2006/relationships/image" Target="media/image13.png"/><Relationship Id="rId51" Type="http://schemas.openxmlformats.org/officeDocument/2006/relationships/image" Target="media/image12.jpeg"/><Relationship Id="rId50" Type="http://schemas.openxmlformats.org/officeDocument/2006/relationships/image" Target="media/image11.png"/><Relationship Id="rId5" Type="http://schemas.openxmlformats.org/officeDocument/2006/relationships/footer" Target="footer1.xml"/><Relationship Id="rId49" Type="http://schemas.openxmlformats.org/officeDocument/2006/relationships/image" Target="media/image10.png"/><Relationship Id="rId48" Type="http://schemas.openxmlformats.org/officeDocument/2006/relationships/image" Target="media/image9.png"/><Relationship Id="rId47" Type="http://schemas.openxmlformats.org/officeDocument/2006/relationships/image" Target="media/image8.png"/><Relationship Id="rId46" Type="http://schemas.openxmlformats.org/officeDocument/2006/relationships/image" Target="media/image7.png"/><Relationship Id="rId45" Type="http://schemas.openxmlformats.org/officeDocument/2006/relationships/image" Target="media/image6.png"/><Relationship Id="rId44" Type="http://schemas.openxmlformats.org/officeDocument/2006/relationships/image" Target="media/image5.png"/><Relationship Id="rId43" Type="http://schemas.openxmlformats.org/officeDocument/2006/relationships/image" Target="media/image4.png"/><Relationship Id="rId42" Type="http://schemas.openxmlformats.org/officeDocument/2006/relationships/image" Target="media/image3.png"/><Relationship Id="rId41" Type="http://schemas.openxmlformats.org/officeDocument/2006/relationships/image" Target="media/image2.png"/><Relationship Id="rId40" Type="http://schemas.openxmlformats.org/officeDocument/2006/relationships/image" Target="media/image1.png"/><Relationship Id="rId4" Type="http://schemas.openxmlformats.org/officeDocument/2006/relationships/endnotes" Target="endnotes.xml"/><Relationship Id="rId39" Type="http://schemas.openxmlformats.org/officeDocument/2006/relationships/theme" Target="theme/theme1.xml"/><Relationship Id="rId38" Type="http://schemas.openxmlformats.org/officeDocument/2006/relationships/footer" Target="footer11.xml"/><Relationship Id="rId37" Type="http://schemas.openxmlformats.org/officeDocument/2006/relationships/footer" Target="footer10.xml"/><Relationship Id="rId36" Type="http://schemas.openxmlformats.org/officeDocument/2006/relationships/header" Target="header23.xml"/><Relationship Id="rId35" Type="http://schemas.openxmlformats.org/officeDocument/2006/relationships/header" Target="header22.xml"/><Relationship Id="rId34" Type="http://schemas.openxmlformats.org/officeDocument/2006/relationships/header" Target="header21.xml"/><Relationship Id="rId33" Type="http://schemas.openxmlformats.org/officeDocument/2006/relationships/header" Target="header20.xml"/><Relationship Id="rId32" Type="http://schemas.openxmlformats.org/officeDocument/2006/relationships/header" Target="header19.xml"/><Relationship Id="rId31" Type="http://schemas.openxmlformats.org/officeDocument/2006/relationships/header" Target="header18.xml"/><Relationship Id="rId30" Type="http://schemas.openxmlformats.org/officeDocument/2006/relationships/header" Target="header17.xml"/><Relationship Id="rId3" Type="http://schemas.openxmlformats.org/officeDocument/2006/relationships/footnotes" Target="footnotes.xml"/><Relationship Id="rId29" Type="http://schemas.openxmlformats.org/officeDocument/2006/relationships/header" Target="header16.xml"/><Relationship Id="rId28" Type="http://schemas.openxmlformats.org/officeDocument/2006/relationships/header" Target="header15.xml"/><Relationship Id="rId27" Type="http://schemas.openxmlformats.org/officeDocument/2006/relationships/header" Target="header14.xml"/><Relationship Id="rId26" Type="http://schemas.openxmlformats.org/officeDocument/2006/relationships/footer" Target="footer9.xml"/><Relationship Id="rId25" Type="http://schemas.openxmlformats.org/officeDocument/2006/relationships/footer" Target="footer8.xml"/><Relationship Id="rId24" Type="http://schemas.openxmlformats.org/officeDocument/2006/relationships/header" Target="header13.xml"/><Relationship Id="rId23" Type="http://schemas.openxmlformats.org/officeDocument/2006/relationships/header" Target="header12.xml"/><Relationship Id="rId22" Type="http://schemas.openxmlformats.org/officeDocument/2006/relationships/header" Target="header11.xml"/><Relationship Id="rId21" Type="http://schemas.openxmlformats.org/officeDocument/2006/relationships/footer" Target="footer7.xml"/><Relationship Id="rId20" Type="http://schemas.openxmlformats.org/officeDocument/2006/relationships/footer" Target="footer6.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Words>2249</Words>
  <Characters>2785</Characters>
  <Lines>0</Lines>
  <Paragraphs>0</Paragraphs>
  <TotalTime>0</TotalTime>
  <ScaleCrop>false</ScaleCrop>
  <LinksUpToDate>false</LinksUpToDate>
  <CharactersWithSpaces>2915</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2024-01-16T07:10:00Z</dcterms:created>
  <dc:creator>JGX</dc:creator>
  <cp:lastModifiedBy>辰</cp:lastModifiedBy>
  <dcterms:modified xsi:type="dcterms:W3CDTF">2026-06-17T10:46:21Z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0B309FAC6D3918857D0A326AF743B291_43</vt:lpwstr>
  </property>
  <property fmtid="{D5CDD505-2E9C-101B-9397-08002B2CF9AE}" pid="4" name="KSOTemplateDocerSaveRecord">
    <vt:lpwstr>eyJoZGlkIjoiZWViMDgxMDExZWQ4NDAyYTkzMWRhOWM5MjdiZjIzMmEiLCJ1c2VySWQiOiI3MTU2MTUxODEifQ==</vt:lpwstr>
  </property>
</Properties>
</file>