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26887"/>
      <w:r>
        <w:rPr>
          <w:rFonts w:hint="eastAsia" w:ascii="黑体" w:hAnsi="黑体" w:eastAsia="黑体" w:cs="黑体"/>
          <w:b w:val="0"/>
          <w:bCs/>
          <w:spacing w:val="-7"/>
          <w:sz w:val="32"/>
          <w:szCs w:val="18"/>
          <w:lang w:val="en-US" w:eastAsia="zh-CN"/>
        </w:rPr>
        <w:t>分体式氟利昂变送器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WE-T234使用说明书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966470</wp:posOffset>
            </wp:positionH>
            <wp:positionV relativeFrom="paragraph">
              <wp:posOffset>29845</wp:posOffset>
            </wp:positionV>
            <wp:extent cx="1125855" cy="1656080"/>
            <wp:effectExtent l="0" t="0" r="17145" b="1270"/>
            <wp:wrapNone/>
            <wp:docPr id="17" name="图片 17" descr="C:/Users/shuttle/Desktop/产品图片/T234-NB.pngT234-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T234-NB.pngT234-NB"/>
                    <pic:cNvPicPr>
                      <a:picLocks noChangeAspect="1"/>
                    </pic:cNvPicPr>
                  </pic:nvPicPr>
                  <pic:blipFill>
                    <a:blip r:embed="rId42"/>
                    <a:srcRect l="58" r="58"/>
                    <a:stretch>
                      <a:fillRect/>
                    </a:stretch>
                  </pic:blipFill>
                  <pic:spPr>
                    <a:xfrm>
                      <a:off x="0" y="0"/>
                      <a:ext cx="1125855" cy="1656080"/>
                    </a:xfrm>
                    <a:prstGeom prst="rect">
                      <a:avLst/>
                    </a:prstGeom>
                  </pic:spPr>
                </pic:pic>
              </a:graphicData>
            </a:graphic>
          </wp:anchor>
        </w:drawing>
      </w:r>
    </w:p>
    <w:p w14:paraId="554D5708"/>
    <w:p w14:paraId="3D8B4B0B">
      <w:pPr>
        <w:spacing w:line="240" w:lineRule="auto"/>
      </w:pPr>
    </w:p>
    <w:p w14:paraId="463DBA5E"/>
    <w:p w14:paraId="6A82330E"/>
    <w:p w14:paraId="0148246D"/>
    <w:p w14:paraId="1A648807"/>
    <w:p w14:paraId="30A0120F"/>
    <w:p w14:paraId="37B32879"/>
    <w:p w14:paraId="101F94B7"/>
    <w:p w14:paraId="63CD0AAF"/>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T234</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T234</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6C90DB45">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21437"/>
      <w:bookmarkStart w:id="2" w:name="_Toc18067"/>
      <w:bookmarkStart w:id="3" w:name="_Toc7640"/>
      <w:bookmarkStart w:id="4" w:name="_Toc12294"/>
      <w:bookmarkStart w:id="5" w:name="_Toc5581"/>
      <w:bookmarkStart w:id="6" w:name="_Toc11653"/>
      <w:bookmarkStart w:id="7" w:name="_Toc17598"/>
      <w:bookmarkStart w:id="8" w:name="_Toc15930"/>
      <w:bookmarkStart w:id="9" w:name="_Toc29143"/>
      <w:bookmarkStart w:id="10" w:name="_Toc12915"/>
      <w:bookmarkStart w:id="11" w:name="_Toc2551"/>
      <w:bookmarkStart w:id="12" w:name="_Toc30858"/>
      <w:bookmarkStart w:id="13" w:name="_Toc2326"/>
      <w:bookmarkStart w:id="14" w:name="_Toc3382"/>
      <w:bookmarkStart w:id="15" w:name="_Toc41996141"/>
      <w:bookmarkStart w:id="16" w:name="_Toc5895"/>
      <w:bookmarkStart w:id="17" w:name="_Toc7003"/>
      <w:bookmarkStart w:id="18" w:name="_Toc26903"/>
      <w:bookmarkStart w:id="19" w:name="_Toc29297"/>
      <w:bookmarkStart w:id="20" w:name="_Toc7823"/>
      <w:bookmarkStart w:id="21" w:name="_Toc22939"/>
      <w:bookmarkStart w:id="22" w:name="_Toc10628"/>
      <w:bookmarkStart w:id="23" w:name="_Toc3490"/>
      <w:bookmarkStart w:id="24" w:name="_Toc16992"/>
      <w:bookmarkStart w:id="25" w:name="_Toc29042"/>
      <w:bookmarkStart w:id="26" w:name="_Toc20964"/>
      <w:bookmarkStart w:id="27" w:name="_Toc30832"/>
      <w:bookmarkStart w:id="28" w:name="_Toc4151"/>
      <w:bookmarkStart w:id="29" w:name="_Toc28135"/>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18036"/>
      <w:bookmarkStart w:id="31" w:name="_Toc9267"/>
      <w:bookmarkStart w:id="32" w:name="_Toc2799"/>
      <w:bookmarkStart w:id="33" w:name="_Toc23414"/>
      <w:bookmarkStart w:id="34" w:name="_Toc17441"/>
      <w:bookmarkStart w:id="35" w:name="_Toc1089"/>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27291"/>
      <w:bookmarkStart w:id="37" w:name="_Toc41996142"/>
      <w:bookmarkStart w:id="38" w:name="_Toc15493"/>
      <w:bookmarkStart w:id="39" w:name="_Toc8275"/>
      <w:bookmarkStart w:id="40" w:name="_Toc20946"/>
      <w:bookmarkStart w:id="41" w:name="_Toc13604"/>
      <w:bookmarkStart w:id="42" w:name="_Toc29781"/>
      <w:bookmarkStart w:id="43" w:name="_Toc14195"/>
      <w:bookmarkStart w:id="44" w:name="_Toc25903"/>
      <w:bookmarkStart w:id="45" w:name="_Toc15313"/>
      <w:bookmarkStart w:id="46" w:name="_Toc3613"/>
      <w:bookmarkStart w:id="47" w:name="_Toc6050"/>
      <w:bookmarkStart w:id="48" w:name="_Toc27473"/>
      <w:bookmarkStart w:id="49" w:name="_Toc12883"/>
      <w:bookmarkStart w:id="50" w:name="_Toc30640"/>
      <w:bookmarkStart w:id="51" w:name="_Toc116"/>
      <w:bookmarkStart w:id="52" w:name="_Toc7143"/>
      <w:bookmarkStart w:id="53" w:name="_Toc30766"/>
      <w:bookmarkStart w:id="54" w:name="_Toc27948"/>
      <w:bookmarkStart w:id="55" w:name="_Toc25155"/>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21225"/>
      <w:bookmarkStart w:id="57" w:name="_Toc2253"/>
      <w:bookmarkStart w:id="58" w:name="_Toc8121"/>
      <w:bookmarkStart w:id="59" w:name="_Toc9947"/>
      <w:bookmarkStart w:id="60" w:name="_Toc41996143"/>
      <w:bookmarkStart w:id="61" w:name="_Toc19503"/>
      <w:bookmarkStart w:id="62" w:name="_Toc6181"/>
      <w:bookmarkStart w:id="63" w:name="_Toc32096"/>
      <w:bookmarkStart w:id="64" w:name="_Toc24285"/>
      <w:bookmarkStart w:id="65" w:name="_Toc29408"/>
      <w:bookmarkStart w:id="66" w:name="_Toc18559"/>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23281"/>
      <w:bookmarkStart w:id="68" w:name="_Toc10100"/>
      <w:bookmarkStart w:id="69" w:name="_Toc8382"/>
      <w:bookmarkStart w:id="70" w:name="_Toc17019"/>
      <w:bookmarkStart w:id="71" w:name="_Toc2697"/>
      <w:bookmarkStart w:id="72" w:name="_Toc4984"/>
      <w:bookmarkStart w:id="73" w:name="_Toc5685"/>
      <w:bookmarkStart w:id="74" w:name="_Toc10737"/>
      <w:bookmarkStart w:id="75" w:name="_Toc24374"/>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T234</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12</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7067"/>
      <w:bookmarkStart w:id="77" w:name="_Toc24243"/>
      <w:bookmarkStart w:id="78" w:name="_Toc28565"/>
      <w:bookmarkStart w:id="79" w:name="_Toc27219"/>
      <w:bookmarkStart w:id="80" w:name="_Toc15579"/>
      <w:bookmarkStart w:id="81" w:name="_Toc20359"/>
      <w:bookmarkStart w:id="82" w:name="_Toc847"/>
      <w:bookmarkStart w:id="83" w:name="_Toc14420"/>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氟利昂变送器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0214926C">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44"/>
              <w:sz w:val="24"/>
              <w:szCs w:val="44"/>
              <w:lang w:val="en-US" w:eastAsia="zh-CN" w:bidi="ar-SA"/>
            </w:rPr>
          </w:pPr>
          <w:bookmarkStart w:id="84" w:name="_Toc26604"/>
          <w:bookmarkStart w:id="85" w:name="_Toc16875"/>
          <w:bookmarkStart w:id="86" w:name="_Toc8158"/>
          <w:bookmarkStart w:id="87" w:name="_Toc11221"/>
          <w:bookmarkStart w:id="88" w:name="_Toc24272"/>
          <w:bookmarkStart w:id="89" w:name="_Toc17902"/>
          <w:bookmarkStart w:id="90" w:name="_Toc19467_WPSOffice_Level1"/>
          <w:bookmarkStart w:id="91" w:name="_Toc29456_WPSOffice_Level1"/>
          <w:bookmarkStart w:id="92" w:name="_Toc21763_WPSOffice_Level1"/>
          <w:r>
            <w:rPr>
              <w:rFonts w:ascii="Times New Roman" w:hAnsi="Times New Roman" w:eastAsia="宋体"/>
              <w:b/>
              <w:bCs/>
              <w:sz w:val="24"/>
              <w:szCs w:val="24"/>
            </w:rPr>
            <w:t>目录</w:t>
          </w:r>
          <w:bookmarkEnd w:id="84"/>
          <w:bookmarkEnd w:id="85"/>
          <w:bookmarkEnd w:id="86"/>
          <w:bookmarkEnd w:id="87"/>
          <w:bookmarkEnd w:id="88"/>
          <w:bookmarkEnd w:id="89"/>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5CC454D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_Toc26887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分体式氟利昂变送器</w:t>
          </w:r>
          <w:r>
            <w:tab/>
          </w:r>
          <w:r>
            <w:fldChar w:fldCharType="begin"/>
          </w:r>
          <w:r>
            <w:instrText xml:space="preserve"> PAGEREF _Toc26887 \h </w:instrText>
          </w:r>
          <w:r>
            <w:fldChar w:fldCharType="separate"/>
          </w:r>
          <w:r>
            <w:t>1</w:t>
          </w:r>
          <w:r>
            <w:fldChar w:fldCharType="end"/>
          </w:r>
          <w:r>
            <w:rPr>
              <w:rFonts w:ascii="Times New Roman" w:hAnsi="Times New Roman" w:eastAsia="宋体" w:cs="Times New Roman"/>
            </w:rPr>
            <w:fldChar w:fldCharType="end"/>
          </w:r>
        </w:p>
        <w:p w14:paraId="4F5BE46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_Toc3382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_Toc3382 \h </w:instrText>
          </w:r>
          <w:r>
            <w:fldChar w:fldCharType="separate"/>
          </w:r>
          <w:r>
            <w:t>II</w:t>
          </w:r>
          <w:r>
            <w:fldChar w:fldCharType="end"/>
          </w:r>
          <w:r>
            <w:rPr>
              <w:rFonts w:ascii="Times New Roman" w:hAnsi="Times New Roman" w:eastAsia="宋体" w:cs="Times New Roman"/>
            </w:rPr>
            <w:fldChar w:fldCharType="end"/>
          </w:r>
        </w:p>
        <w:p w14:paraId="74043C38">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_Toc15313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_Toc15313 \h </w:instrText>
          </w:r>
          <w:r>
            <w:fldChar w:fldCharType="separate"/>
          </w:r>
          <w:r>
            <w:t>II</w:t>
          </w:r>
          <w:r>
            <w:fldChar w:fldCharType="end"/>
          </w:r>
          <w:r>
            <w:rPr>
              <w:rFonts w:ascii="Times New Roman" w:hAnsi="Times New Roman" w:eastAsia="宋体" w:cs="Times New Roman"/>
            </w:rPr>
            <w:fldChar w:fldCharType="end"/>
          </w:r>
        </w:p>
        <w:p w14:paraId="7A10815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_Toc4984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_Toc4984 \h </w:instrText>
          </w:r>
          <w:r>
            <w:fldChar w:fldCharType="separate"/>
          </w:r>
          <w:r>
            <w:t>II</w:t>
          </w:r>
          <w:r>
            <w:fldChar w:fldCharType="end"/>
          </w:r>
          <w:r>
            <w:rPr>
              <w:rFonts w:ascii="Times New Roman" w:hAnsi="Times New Roman" w:eastAsia="宋体" w:cs="Times New Roman"/>
            </w:rPr>
            <w:fldChar w:fldCharType="end"/>
          </w:r>
        </w:p>
        <w:p w14:paraId="4AC4775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_Toc847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_Toc847 \h </w:instrText>
          </w:r>
          <w:r>
            <w:fldChar w:fldCharType="separate"/>
          </w:r>
          <w:r>
            <w:t>III</w:t>
          </w:r>
          <w:r>
            <w:fldChar w:fldCharType="end"/>
          </w:r>
          <w:r>
            <w:rPr>
              <w:rFonts w:ascii="Times New Roman" w:hAnsi="Times New Roman" w:eastAsia="宋体" w:cs="Times New Roman"/>
            </w:rPr>
            <w:fldChar w:fldCharType="end"/>
          </w:r>
        </w:p>
        <w:p w14:paraId="1129841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_Toc11221 </w:instrText>
          </w:r>
          <w:r>
            <w:rPr>
              <w:rFonts w:ascii="Times New Roman" w:hAnsi="Times New Roman" w:eastAsia="宋体" w:cs="Times New Roman"/>
            </w:rPr>
            <w:fldChar w:fldCharType="separate"/>
          </w:r>
          <w:r>
            <w:rPr>
              <w:rFonts w:ascii="Times New Roman" w:hAnsi="Times New Roman" w:eastAsia="宋体"/>
              <w:bCs/>
              <w:szCs w:val="24"/>
            </w:rPr>
            <w:t>目录</w:t>
          </w:r>
          <w:r>
            <w:tab/>
          </w:r>
          <w:r>
            <w:fldChar w:fldCharType="begin"/>
          </w:r>
          <w:r>
            <w:instrText xml:space="preserve"> PAGEREF _Toc11221 \h </w:instrText>
          </w:r>
          <w:r>
            <w:fldChar w:fldCharType="separate"/>
          </w:r>
          <w:r>
            <w:t>IV</w:t>
          </w:r>
          <w:r>
            <w:fldChar w:fldCharType="end"/>
          </w:r>
          <w:r>
            <w:rPr>
              <w:rFonts w:ascii="Times New Roman" w:hAnsi="Times New Roman" w:eastAsia="宋体" w:cs="Times New Roman"/>
            </w:rPr>
            <w:fldChar w:fldCharType="end"/>
          </w:r>
        </w:p>
        <w:p w14:paraId="308954F2">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_Toc29905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_Toc29905 \h </w:instrText>
          </w:r>
          <w:r>
            <w:fldChar w:fldCharType="separate"/>
          </w:r>
          <w:r>
            <w:t>1</w:t>
          </w:r>
          <w:r>
            <w:fldChar w:fldCharType="end"/>
          </w:r>
          <w:r>
            <w:rPr>
              <w:rFonts w:ascii="Times New Roman" w:hAnsi="Times New Roman" w:eastAsia="宋体" w:cs="Times New Roman"/>
            </w:rPr>
            <w:fldChar w:fldCharType="end"/>
          </w:r>
        </w:p>
        <w:p w14:paraId="71229A99">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_Toc4640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_Toc4640 \h </w:instrText>
          </w:r>
          <w:r>
            <w:fldChar w:fldCharType="separate"/>
          </w:r>
          <w:r>
            <w:t>1</w:t>
          </w:r>
          <w:r>
            <w:fldChar w:fldCharType="end"/>
          </w:r>
          <w:r>
            <w:rPr>
              <w:rFonts w:ascii="Times New Roman" w:hAnsi="Times New Roman" w:eastAsia="宋体" w:cs="Times New Roman"/>
            </w:rPr>
            <w:fldChar w:fldCharType="end"/>
          </w:r>
        </w:p>
        <w:p w14:paraId="3B92DAAC">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_Toc20892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_Toc20892 \h </w:instrText>
          </w:r>
          <w:r>
            <w:fldChar w:fldCharType="separate"/>
          </w:r>
          <w:r>
            <w:t>1</w:t>
          </w:r>
          <w:r>
            <w:fldChar w:fldCharType="end"/>
          </w:r>
          <w:r>
            <w:rPr>
              <w:rFonts w:ascii="Times New Roman" w:hAnsi="Times New Roman" w:eastAsia="宋体" w:cs="Times New Roman"/>
            </w:rPr>
            <w:fldChar w:fldCharType="end"/>
          </w:r>
        </w:p>
        <w:p w14:paraId="70830761">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_Toc3166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_Toc3166 \h </w:instrText>
          </w:r>
          <w:r>
            <w:fldChar w:fldCharType="separate"/>
          </w:r>
          <w:r>
            <w:t>2</w:t>
          </w:r>
          <w:r>
            <w:fldChar w:fldCharType="end"/>
          </w:r>
          <w:r>
            <w:rPr>
              <w:rFonts w:ascii="Times New Roman" w:hAnsi="Times New Roman" w:eastAsia="宋体" w:cs="Times New Roman"/>
            </w:rPr>
            <w:fldChar w:fldCharType="end"/>
          </w:r>
        </w:p>
        <w:p w14:paraId="383DFAA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_Toc29226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_Toc29226 \h </w:instrText>
          </w:r>
          <w:r>
            <w:fldChar w:fldCharType="separate"/>
          </w:r>
          <w:r>
            <w:t>3</w:t>
          </w:r>
          <w:r>
            <w:fldChar w:fldCharType="end"/>
          </w:r>
          <w:r>
            <w:rPr>
              <w:rFonts w:ascii="Times New Roman" w:hAnsi="Times New Roman" w:eastAsia="宋体" w:cs="Times New Roman"/>
            </w:rPr>
            <w:fldChar w:fldCharType="end"/>
          </w:r>
        </w:p>
        <w:p w14:paraId="45774F9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_Toc14720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_Toc14720 \h </w:instrText>
          </w:r>
          <w:r>
            <w:fldChar w:fldCharType="separate"/>
          </w:r>
          <w:r>
            <w:t>6</w:t>
          </w:r>
          <w:r>
            <w:fldChar w:fldCharType="end"/>
          </w:r>
          <w:r>
            <w:rPr>
              <w:rFonts w:ascii="Times New Roman" w:hAnsi="Times New Roman" w:eastAsia="宋体" w:cs="Times New Roman"/>
            </w:rPr>
            <w:fldChar w:fldCharType="end"/>
          </w:r>
        </w:p>
        <w:p w14:paraId="492590EF">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_Toc2175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_Toc2175 \h </w:instrText>
          </w:r>
          <w:r>
            <w:fldChar w:fldCharType="separate"/>
          </w:r>
          <w:r>
            <w:t>6</w:t>
          </w:r>
          <w:r>
            <w:fldChar w:fldCharType="end"/>
          </w:r>
          <w:r>
            <w:rPr>
              <w:rFonts w:ascii="Times New Roman" w:hAnsi="Times New Roman" w:eastAsia="宋体" w:cs="Times New Roman"/>
            </w:rPr>
            <w:fldChar w:fldCharType="end"/>
          </w:r>
        </w:p>
        <w:p w14:paraId="613047EC">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_Toc16108 </w:instrText>
          </w:r>
          <w:r>
            <w:rPr>
              <w:rFonts w:ascii="Times New Roman" w:hAnsi="Times New Roman" w:eastAsia="宋体" w:cs="Times New Roman"/>
            </w:rPr>
            <w:fldChar w:fldCharType="separate"/>
          </w:r>
          <w:r>
            <w:rPr>
              <w:rFonts w:hint="default"/>
              <w:bCs/>
              <w:lang w:val="en-US" w:eastAsia="zh-CN"/>
            </w:rPr>
            <w:t xml:space="preserve">3.2. </w:t>
          </w:r>
          <w:r>
            <w:rPr>
              <w:rFonts w:hint="eastAsia"/>
              <w:bCs/>
              <w:lang w:val="en-US" w:eastAsia="zh-CN"/>
            </w:rPr>
            <w:t>连接线缆</w:t>
          </w:r>
          <w:r>
            <w:tab/>
          </w:r>
          <w:r>
            <w:fldChar w:fldCharType="begin"/>
          </w:r>
          <w:r>
            <w:instrText xml:space="preserve"> PAGEREF _Toc16108 \h </w:instrText>
          </w:r>
          <w:r>
            <w:fldChar w:fldCharType="separate"/>
          </w:r>
          <w:r>
            <w:t>6</w:t>
          </w:r>
          <w:r>
            <w:fldChar w:fldCharType="end"/>
          </w:r>
          <w:r>
            <w:rPr>
              <w:rFonts w:ascii="Times New Roman" w:hAnsi="Times New Roman" w:eastAsia="宋体" w:cs="Times New Roman"/>
            </w:rPr>
            <w:fldChar w:fldCharType="end"/>
          </w:r>
        </w:p>
        <w:p w14:paraId="6E6C2B7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_Toc14870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3.3. </w:t>
          </w:r>
          <w:r>
            <w:rPr>
              <w:rFonts w:hint="eastAsia" w:ascii="Times New Roman" w:hAnsi="Times New Roman" w:eastAsia="宋体"/>
              <w:bCs/>
              <w:lang w:val="en-US" w:eastAsia="zh-CN"/>
            </w:rPr>
            <w:t>材质</w:t>
          </w:r>
          <w:r>
            <w:tab/>
          </w:r>
          <w:r>
            <w:fldChar w:fldCharType="begin"/>
          </w:r>
          <w:r>
            <w:instrText xml:space="preserve"> PAGEREF _Toc14870 \h </w:instrText>
          </w:r>
          <w:r>
            <w:fldChar w:fldCharType="separate"/>
          </w:r>
          <w:r>
            <w:t>6</w:t>
          </w:r>
          <w:r>
            <w:fldChar w:fldCharType="end"/>
          </w:r>
          <w:r>
            <w:rPr>
              <w:rFonts w:ascii="Times New Roman" w:hAnsi="Times New Roman" w:eastAsia="宋体" w:cs="Times New Roman"/>
            </w:rPr>
            <w:fldChar w:fldCharType="end"/>
          </w:r>
        </w:p>
        <w:p w14:paraId="6797D85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_Toc4919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_Toc4919 \h </w:instrText>
          </w:r>
          <w:r>
            <w:fldChar w:fldCharType="separate"/>
          </w:r>
          <w:r>
            <w:t>7</w:t>
          </w:r>
          <w:r>
            <w:fldChar w:fldCharType="end"/>
          </w:r>
          <w:r>
            <w:rPr>
              <w:rFonts w:ascii="Times New Roman" w:hAnsi="Times New Roman" w:eastAsia="宋体" w:cs="Times New Roman"/>
            </w:rPr>
            <w:fldChar w:fldCharType="end"/>
          </w:r>
        </w:p>
        <w:p w14:paraId="760C7D4A">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_Toc30250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_Toc30250 \h </w:instrText>
          </w:r>
          <w:r>
            <w:fldChar w:fldCharType="separate"/>
          </w:r>
          <w:r>
            <w:t>7</w:t>
          </w:r>
          <w:r>
            <w:fldChar w:fldCharType="end"/>
          </w:r>
          <w:r>
            <w:rPr>
              <w:rFonts w:ascii="Times New Roman" w:hAnsi="Times New Roman" w:eastAsia="宋体" w:cs="Times New Roman"/>
            </w:rPr>
            <w:fldChar w:fldCharType="end"/>
          </w:r>
        </w:p>
        <w:p w14:paraId="47F08F18">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_Toc22460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安装注意</w:t>
          </w:r>
          <w:r>
            <w:tab/>
          </w:r>
          <w:r>
            <w:fldChar w:fldCharType="begin"/>
          </w:r>
          <w:r>
            <w:instrText xml:space="preserve"> PAGEREF _Toc22460 \h </w:instrText>
          </w:r>
          <w:r>
            <w:fldChar w:fldCharType="separate"/>
          </w:r>
          <w:r>
            <w:t>7</w:t>
          </w:r>
          <w:r>
            <w:fldChar w:fldCharType="end"/>
          </w:r>
          <w:r>
            <w:rPr>
              <w:rFonts w:ascii="Times New Roman" w:hAnsi="Times New Roman" w:eastAsia="宋体" w:cs="Times New Roman"/>
            </w:rPr>
            <w:fldChar w:fldCharType="end"/>
          </w:r>
        </w:p>
        <w:p w14:paraId="25B065D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_Toc21362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_Toc21362 \h </w:instrText>
          </w:r>
          <w:r>
            <w:fldChar w:fldCharType="separate"/>
          </w:r>
          <w:r>
            <w:t>8</w:t>
          </w:r>
          <w:r>
            <w:fldChar w:fldCharType="end"/>
          </w:r>
          <w:r>
            <w:rPr>
              <w:rFonts w:ascii="Times New Roman" w:hAnsi="Times New Roman" w:eastAsia="宋体" w:cs="Times New Roman"/>
            </w:rPr>
            <w:fldChar w:fldCharType="end"/>
          </w:r>
        </w:p>
        <w:p w14:paraId="635ABE08">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_Toc32765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_Toc32765 \h </w:instrText>
          </w:r>
          <w:r>
            <w:fldChar w:fldCharType="separate"/>
          </w:r>
          <w:r>
            <w:t>9</w:t>
          </w:r>
          <w:r>
            <w:fldChar w:fldCharType="end"/>
          </w:r>
          <w:r>
            <w:rPr>
              <w:rFonts w:ascii="Times New Roman" w:hAnsi="Times New Roman" w:eastAsia="宋体" w:cs="Times New Roman"/>
            </w:rPr>
            <w:fldChar w:fldCharType="end"/>
          </w:r>
        </w:p>
        <w:p w14:paraId="65E47EE8">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_Toc22659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_Toc22659 \h </w:instrText>
          </w:r>
          <w:r>
            <w:fldChar w:fldCharType="separate"/>
          </w:r>
          <w:r>
            <w:t>9</w:t>
          </w:r>
          <w:r>
            <w:fldChar w:fldCharType="end"/>
          </w:r>
          <w:r>
            <w:rPr>
              <w:rFonts w:ascii="Times New Roman" w:hAnsi="Times New Roman" w:eastAsia="宋体" w:cs="Times New Roman"/>
            </w:rPr>
            <w:fldChar w:fldCharType="end"/>
          </w:r>
        </w:p>
        <w:p w14:paraId="6151174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_Toc15596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_Toc15596 \h </w:instrText>
          </w:r>
          <w:r>
            <w:fldChar w:fldCharType="separate"/>
          </w:r>
          <w:r>
            <w:t>12</w:t>
          </w:r>
          <w:r>
            <w:fldChar w:fldCharType="end"/>
          </w:r>
          <w:r>
            <w:rPr>
              <w:rFonts w:ascii="Times New Roman" w:hAnsi="Times New Roman" w:eastAsia="宋体" w:cs="Times New Roman"/>
            </w:rPr>
            <w:fldChar w:fldCharType="end"/>
          </w:r>
        </w:p>
        <w:p w14:paraId="6D5BE5E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_Toc27762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_Toc27762 \h </w:instrText>
          </w:r>
          <w:r>
            <w:fldChar w:fldCharType="separate"/>
          </w:r>
          <w:r>
            <w:t>15</w:t>
          </w:r>
          <w:r>
            <w:fldChar w:fldCharType="end"/>
          </w:r>
          <w:r>
            <w:rPr>
              <w:rFonts w:ascii="Times New Roman" w:hAnsi="Times New Roman" w:eastAsia="宋体" w:cs="Times New Roman"/>
            </w:rPr>
            <w:fldChar w:fldCharType="end"/>
          </w:r>
        </w:p>
        <w:p w14:paraId="47F48F40">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_Toc5002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_Toc5002 \h </w:instrText>
          </w:r>
          <w:r>
            <w:fldChar w:fldCharType="separate"/>
          </w:r>
          <w:r>
            <w:t>18</w:t>
          </w:r>
          <w:r>
            <w:fldChar w:fldCharType="end"/>
          </w:r>
          <w:r>
            <w:rPr>
              <w:rFonts w:ascii="Times New Roman" w:hAnsi="Times New Roman" w:eastAsia="宋体" w:cs="Times New Roman"/>
            </w:rPr>
            <w:fldChar w:fldCharType="end"/>
          </w:r>
        </w:p>
        <w:p w14:paraId="0EE00B1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_Toc22903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_Toc22903 \h </w:instrText>
          </w:r>
          <w:r>
            <w:fldChar w:fldCharType="separate"/>
          </w:r>
          <w:r>
            <w:t>20</w:t>
          </w:r>
          <w:r>
            <w:fldChar w:fldCharType="end"/>
          </w:r>
          <w:r>
            <w:rPr>
              <w:rFonts w:ascii="Times New Roman" w:hAnsi="Times New Roman" w:eastAsia="宋体" w:cs="Times New Roman"/>
            </w:rPr>
            <w:fldChar w:fldCharType="end"/>
          </w:r>
        </w:p>
        <w:p w14:paraId="2723E05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_Toc387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_Toc387 \h </w:instrText>
          </w:r>
          <w:r>
            <w:fldChar w:fldCharType="separate"/>
          </w:r>
          <w:r>
            <w:t>21</w:t>
          </w:r>
          <w:r>
            <w:fldChar w:fldCharType="end"/>
          </w:r>
          <w:r>
            <w:rPr>
              <w:rFonts w:ascii="Times New Roman" w:hAnsi="Times New Roman" w:eastAsia="宋体" w:cs="Times New Roman"/>
            </w:rPr>
            <w:fldChar w:fldCharType="end"/>
          </w:r>
        </w:p>
        <w:p w14:paraId="350BA18C">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_Toc22932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_Toc22932 \h </w:instrText>
          </w:r>
          <w:r>
            <w:fldChar w:fldCharType="separate"/>
          </w:r>
          <w:r>
            <w:t>23</w:t>
          </w:r>
          <w:r>
            <w:fldChar w:fldCharType="end"/>
          </w:r>
          <w:r>
            <w:rPr>
              <w:rFonts w:ascii="Times New Roman" w:hAnsi="Times New Roman" w:eastAsia="宋体" w:cs="Times New Roman"/>
            </w:rPr>
            <w:fldChar w:fldCharType="end"/>
          </w:r>
        </w:p>
        <w:p w14:paraId="7AD045C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_Toc26548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_Toc26548 \h </w:instrText>
          </w:r>
          <w:r>
            <w:fldChar w:fldCharType="separate"/>
          </w:r>
          <w:r>
            <w:t>24</w:t>
          </w:r>
          <w:r>
            <w:fldChar w:fldCharType="end"/>
          </w:r>
          <w:r>
            <w:rPr>
              <w:rFonts w:ascii="Times New Roman" w:hAnsi="Times New Roman" w:eastAsia="宋体" w:cs="Times New Roman"/>
            </w:rPr>
            <w:fldChar w:fldCharType="end"/>
          </w:r>
        </w:p>
        <w:p w14:paraId="4D5703C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_Toc9617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_Toc9617 \h </w:instrText>
          </w:r>
          <w:r>
            <w:fldChar w:fldCharType="separate"/>
          </w:r>
          <w:r>
            <w:t>31</w:t>
          </w:r>
          <w:r>
            <w:fldChar w:fldCharType="end"/>
          </w:r>
          <w:r>
            <w:rPr>
              <w:rFonts w:ascii="Times New Roman" w:hAnsi="Times New Roman" w:eastAsia="宋体" w:cs="Times New Roman"/>
            </w:rPr>
            <w:fldChar w:fldCharType="end"/>
          </w:r>
        </w:p>
        <w:p w14:paraId="46B2F64F">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3" w:name="_Toc29905"/>
      <w:r>
        <w:rPr>
          <w:rFonts w:hint="eastAsia" w:ascii="Times New Roman" w:hAnsi="Times New Roman" w:eastAsia="宋体"/>
          <w:b/>
          <w:sz w:val="21"/>
          <w:lang w:val="en-US" w:eastAsia="zh-CN"/>
        </w:rPr>
        <w:t>产品</w:t>
      </w:r>
      <w:bookmarkEnd w:id="90"/>
      <w:bookmarkEnd w:id="91"/>
      <w:bookmarkEnd w:id="92"/>
      <w:r>
        <w:rPr>
          <w:rFonts w:hint="eastAsia" w:ascii="Times New Roman" w:hAnsi="Times New Roman" w:eastAsia="宋体"/>
          <w:b/>
          <w:sz w:val="21"/>
          <w:lang w:val="en-US" w:eastAsia="zh-CN"/>
        </w:rPr>
        <w:t>概述</w:t>
      </w:r>
      <w:bookmarkEnd w:id="93"/>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4" w:name="_Toc4640"/>
      <w:r>
        <w:rPr>
          <w:rFonts w:hint="eastAsia" w:ascii="Times New Roman" w:hAnsi="Times New Roman" w:eastAsia="宋体"/>
          <w:sz w:val="20"/>
          <w:lang w:val="en-US" w:eastAsia="zh-CN"/>
        </w:rPr>
        <w:t>产品简介</w:t>
      </w:r>
      <w:bookmarkEnd w:id="94"/>
    </w:p>
    <w:p w14:paraId="67CB6140">
      <w:pPr>
        <w:keepNext w:val="0"/>
        <w:keepLines w:val="0"/>
        <w:widowControl/>
        <w:suppressLineNumbers w:val="0"/>
        <w:jc w:val="left"/>
        <w:rPr>
          <w:rFonts w:hint="eastAsia" w:ascii="宋体" w:hAnsi="宋体" w:eastAsia="宋体" w:cs="宋体"/>
          <w:lang w:val="en-US" w:eastAsia="zh-CN"/>
        </w:rPr>
      </w:pPr>
      <w:bookmarkStart w:id="95" w:name="_Toc31468_WPSOffice_Level2"/>
      <w:bookmarkStart w:id="96" w:name="_Toc897_WPSOffice_Level2"/>
      <w:bookmarkStart w:id="97" w:name="_Toc24924_WPSOffice_Level2"/>
      <w:bookmarkStart w:id="98" w:name="_Toc25397_WPSOffice_Level2"/>
      <w:bookmarkStart w:id="99" w:name="_Toc26576_WPSOffice_Level2"/>
      <w:bookmarkStart w:id="100" w:name="_Toc20995_WPSOffice_Level2"/>
      <w:r>
        <w:rPr>
          <w:rFonts w:hint="default" w:ascii="宋体" w:hAnsi="宋体" w:eastAsia="宋体" w:cs="宋体"/>
          <w:lang w:val="en-US" w:eastAsia="zh-CN"/>
        </w:rPr>
        <w:t>WE-</w:t>
      </w:r>
      <w:r>
        <w:rPr>
          <w:rFonts w:hint="eastAsia" w:ascii="宋体" w:hAnsi="宋体" w:cs="宋体"/>
          <w:lang w:val="en-US" w:eastAsia="zh-CN"/>
        </w:rPr>
        <w:t>T234</w:t>
      </w:r>
      <w:r>
        <w:rPr>
          <w:rFonts w:hint="eastAsia" w:ascii="宋体" w:hAnsi="宋体" w:eastAsia="宋体" w:cs="宋体"/>
          <w:lang w:val="en-US" w:eastAsia="zh-CN"/>
        </w:rPr>
        <w:t>型</w:t>
      </w:r>
      <w:r>
        <w:rPr>
          <w:rFonts w:hint="eastAsia" w:ascii="宋体" w:hAnsi="宋体" w:cs="宋体"/>
          <w:lang w:val="en-US" w:eastAsia="zh-CN"/>
        </w:rPr>
        <w:t>氟利昂气体浓度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氟利昂气体浓度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氟利昂气体浓度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变送器本体与探头分体式设计，可用于智能楼宇、通风系统</w:t>
      </w:r>
      <w:r>
        <w:rPr>
          <w:rFonts w:hint="eastAsia" w:ascii="宋体" w:hAnsi="宋体" w:cs="宋体"/>
          <w:lang w:val="en-US" w:eastAsia="zh-CN"/>
        </w:rPr>
        <w:t>，食品冷链与冷藏仓储，工业过程冷却与工业制冷中</w:t>
      </w:r>
      <w:r>
        <w:rPr>
          <w:rFonts w:hint="eastAsia" w:ascii="宋体" w:hAnsi="宋体" w:eastAsia="宋体" w:cs="宋体"/>
          <w:lang w:val="en-US" w:eastAsia="zh-CN"/>
        </w:rPr>
        <w:t>。能够满足大多数工业应用对在线</w:t>
      </w:r>
      <w:r>
        <w:rPr>
          <w:rFonts w:hint="eastAsia" w:ascii="宋体" w:hAnsi="宋体" w:cs="宋体"/>
          <w:lang w:val="en-US" w:eastAsia="zh-CN"/>
        </w:rPr>
        <w:t>氟利昂气体浓度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1" w:name="_Toc20892"/>
      <w:r>
        <w:rPr>
          <w:rFonts w:hint="eastAsia" w:ascii="Times New Roman" w:hAnsi="Times New Roman" w:eastAsia="宋体"/>
          <w:sz w:val="20"/>
          <w:lang w:val="en-US" w:eastAsia="zh-CN"/>
        </w:rPr>
        <w:t>测量原理</w:t>
      </w:r>
      <w:bookmarkEnd w:id="101"/>
    </w:p>
    <w:p w14:paraId="0D709F77">
      <w:pPr>
        <w:keepNext w:val="0"/>
        <w:keepLines w:val="0"/>
        <w:widowControl/>
        <w:suppressLineNumbers w:val="0"/>
        <w:jc w:val="left"/>
        <w:rPr>
          <w:rFonts w:hint="eastAsia"/>
          <w:lang w:val="en-US" w:eastAsia="zh-CN"/>
        </w:rPr>
      </w:pPr>
      <w:r>
        <w:rPr>
          <w:rFonts w:hint="eastAsia"/>
          <w:lang w:val="en-US" w:eastAsia="zh-CN"/>
        </w:rPr>
        <w:t>氟利昂变送器采</w:t>
      </w:r>
      <w:r>
        <w:rPr>
          <w:rFonts w:hint="eastAsia"/>
          <w:highlight w:val="none"/>
          <w:lang w:val="en-US" w:eastAsia="zh-CN"/>
        </w:rPr>
        <w:t>用氟利昂传感器，其原</w:t>
      </w:r>
      <w:r>
        <w:rPr>
          <w:rFonts w:hint="eastAsia"/>
          <w:lang w:val="en-US" w:eastAsia="zh-CN"/>
        </w:rPr>
        <w:t>理是基于NDIR 红外吸收原理。工作时传感器内部的红外光源发射广谱红外光，当光线穿过含待测气体的测量气室时，二氟甲烷气体会选择性吸收其特有的红外波长，导致光强衰减。通过光学滤波器分离出该特征波长的光，并由红外探测器测量其强度，再与未被吸收的参考波长信号进行对比，最终依据朗伯-比尔定律计算出气体浓度。</w:t>
      </w:r>
    </w:p>
    <w:p w14:paraId="2510CCF2">
      <w:pPr>
        <w:keepNext w:val="0"/>
        <w:keepLines w:val="0"/>
        <w:widowControl/>
        <w:suppressLineNumbers w:val="0"/>
        <w:jc w:val="left"/>
        <w:rPr>
          <w:rFonts w:hint="eastAsia"/>
          <w:lang w:val="en-US" w:eastAsia="zh-CN"/>
        </w:rPr>
      </w:pPr>
      <w:r>
        <w:rPr>
          <w:rFonts w:hint="eastAsia"/>
          <w:lang w:val="en-US" w:eastAsia="zh-CN"/>
        </w:rPr>
        <w:t>氟利昂变送器一般由一个氟利昂传感器和一个变送器组成，通过电缆连接。当氟利昂传感器采集到现场的氟利昂气体浓度值后通过电缆传输至变送器。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2" w:name="_Toc3166"/>
      <w:r>
        <w:rPr>
          <w:rFonts w:hint="eastAsia"/>
          <w:b/>
          <w:bCs/>
          <w:lang w:val="en-US" w:eastAsia="zh-CN"/>
        </w:rPr>
        <w:t>产品特点</w:t>
      </w:r>
      <w:bookmarkEnd w:id="102"/>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3" w:name="_Toc21411_WPSOffice_Level2"/>
      <w:bookmarkStart w:id="104" w:name="_Toc5059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支持高清晰度 LCD 显示屏，配合 </w:t>
      </w:r>
      <w:r>
        <w:rPr>
          <w:rFonts w:hint="default" w:cs="Times New Roman"/>
          <w:szCs w:val="18"/>
          <w:lang w:val="en-US" w:eastAsia="zh-CN"/>
        </w:rPr>
        <w:t xml:space="preserve">LED </w:t>
      </w:r>
      <w:r>
        <w:rPr>
          <w:rFonts w:hint="eastAsia" w:cs="Times New Roman"/>
          <w:szCs w:val="18"/>
          <w:lang w:val="en-US" w:eastAsia="zh-CN"/>
        </w:rPr>
        <w:t>指示灯与按键，可以现场实时查看氟利昂气体浓度值、报警信息、电量提示等。</w:t>
      </w:r>
    </w:p>
    <w:p w14:paraId="6CBAD12F">
      <w:pPr>
        <w:bidi w:val="0"/>
        <w:rPr>
          <w:rFonts w:hint="eastAsia" w:ascii="Times New Roman" w:hAnsi="Times New Roman" w:eastAsia="宋体"/>
          <w:lang w:val="en-US" w:eastAsia="zh-CN"/>
        </w:rPr>
      </w:pPr>
    </w:p>
    <w:p w14:paraId="2B295E6F">
      <w:pPr>
        <w:bidi w:val="0"/>
        <w:rPr>
          <w:rFonts w:hint="eastAsia" w:ascii="Times New Roman" w:hAnsi="Times New Roman" w:eastAsia="宋体"/>
          <w:lang w:val="en-US" w:eastAsia="zh-CN"/>
        </w:rPr>
      </w:pPr>
    </w:p>
    <w:p w14:paraId="4B51C458">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5" w:name="_Toc29226"/>
      <w:r>
        <w:rPr>
          <w:rFonts w:hint="eastAsia" w:ascii="Times New Roman" w:hAnsi="Times New Roman" w:eastAsia="宋体"/>
          <w:b/>
          <w:sz w:val="21"/>
          <w:lang w:val="en-US" w:eastAsia="zh-CN"/>
        </w:rPr>
        <w:t>技术参数</w:t>
      </w:r>
      <w:bookmarkEnd w:id="105"/>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6"/>
        <w:gridCol w:w="607"/>
        <w:gridCol w:w="1047"/>
        <w:gridCol w:w="989"/>
        <w:gridCol w:w="607"/>
        <w:gridCol w:w="613"/>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59" w:type="pct"/>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740" w:type="pct"/>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二氟甲烷气体</w:t>
            </w:r>
            <w:r>
              <w:rPr>
                <w:rFonts w:ascii="Segoe UI" w:hAnsi="Segoe UI" w:eastAsia="Segoe UI" w:cs="Segoe UI"/>
                <w:i w:val="0"/>
                <w:iCs w:val="0"/>
                <w:caps w:val="0"/>
                <w:color w:val="0F1115"/>
                <w:spacing w:val="0"/>
                <w:sz w:val="18"/>
                <w:szCs w:val="18"/>
                <w:shd w:val="clear" w:fill="FFFFFF"/>
              </w:rPr>
              <w:t>CH₂F₂</w:t>
            </w:r>
            <w:r>
              <w:rPr>
                <w:rFonts w:hint="eastAsia"/>
                <w:lang w:val="en-US" w:eastAsia="zh-CN"/>
              </w:rPr>
              <w:t>(R32)</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9" w:type="pct"/>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740" w:type="pct"/>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0~100%LFL</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5000" w:type="pct"/>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259" w:type="pct"/>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740" w:type="pct"/>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±5%LFL</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740" w:type="pct"/>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0.01%LFL</w:t>
            </w:r>
          </w:p>
        </w:tc>
      </w:tr>
      <w:tr w14:paraId="1BFF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vAlign w:val="center"/>
          </w:tcPr>
          <w:p w14:paraId="222D171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探头寿命</w:t>
            </w:r>
          </w:p>
        </w:tc>
        <w:tc>
          <w:tcPr>
            <w:tcW w:w="3740" w:type="pct"/>
            <w:gridSpan w:val="5"/>
            <w:vAlign w:val="center"/>
          </w:tcPr>
          <w:p w14:paraId="6EC095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15年</w:t>
            </w:r>
          </w:p>
        </w:tc>
      </w:tr>
      <w:tr w14:paraId="237EE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vAlign w:val="center"/>
          </w:tcPr>
          <w:p w14:paraId="2ED21EE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长期稳定性</w:t>
            </w:r>
          </w:p>
        </w:tc>
        <w:tc>
          <w:tcPr>
            <w:tcW w:w="3740" w:type="pct"/>
            <w:gridSpan w:val="5"/>
            <w:vAlign w:val="center"/>
          </w:tcPr>
          <w:p w14:paraId="0AD893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≤2%LFL</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259"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740"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259"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740"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59"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740"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259"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740"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259"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747"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747"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747"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747"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752"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59"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747"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747"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747"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747"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752"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740"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740"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259"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740"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19000mAh，锂电池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259"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740"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3BC45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w:t>
            </w:r>
            <w:r>
              <w:rPr>
                <w:rFonts w:hint="eastAsia"/>
                <w:highlight w:val="none"/>
                <w:lang w:val="en-US" w:eastAsia="zh"/>
                <w:woUserID w:val="1"/>
              </w:rPr>
              <w:t>6</w:t>
            </w:r>
            <w:r>
              <w:rPr>
                <w:rFonts w:hint="eastAsia"/>
                <w:highlight w:val="none"/>
                <w:lang w:val="en-US" w:eastAsia="zh-CN"/>
              </w:rPr>
              <w:t>00s，上报周期</w:t>
            </w:r>
            <w:r>
              <w:rPr>
                <w:rFonts w:hint="eastAsia"/>
                <w:highlight w:val="none"/>
                <w:lang w:val="en-US" w:eastAsia="zh"/>
                <w:woUserID w:val="1"/>
              </w:rPr>
              <w:t>18</w:t>
            </w:r>
            <w:r>
              <w:rPr>
                <w:rFonts w:hint="eastAsia"/>
                <w:highlight w:val="none"/>
                <w:lang w:val="en-US" w:eastAsia="zh-CN"/>
              </w:rPr>
              <w:t>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LoRa：0.</w:t>
            </w:r>
            <w:r>
              <w:rPr>
                <w:rFonts w:hint="eastAsia"/>
                <w:highlight w:val="none"/>
                <w:lang w:val="en-US" w:eastAsia="zh"/>
                <w:woUserID w:val="1"/>
              </w:rPr>
              <w:t>4</w:t>
            </w:r>
            <w:r>
              <w:rPr>
                <w:rFonts w:hint="eastAsia"/>
                <w:highlight w:val="none"/>
                <w:lang w:val="en-US" w:eastAsia="zh-CN"/>
              </w:rPr>
              <w:t>年</w:t>
            </w:r>
          </w:p>
          <w:p w14:paraId="37C250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4G：0.</w:t>
            </w:r>
            <w:r>
              <w:rPr>
                <w:rFonts w:hint="eastAsia"/>
                <w:highlight w:val="none"/>
                <w:lang w:val="en-US" w:eastAsia="zh"/>
                <w:woUserID w:val="1"/>
              </w:rPr>
              <w:t>35</w:t>
            </w:r>
            <w:r>
              <w:rPr>
                <w:rFonts w:hint="eastAsia"/>
                <w:highlight w:val="none"/>
                <w:lang w:val="en-US" w:eastAsia="zh-CN"/>
              </w:rPr>
              <w:t>年</w:t>
            </w:r>
          </w:p>
          <w:p w14:paraId="58CF13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NB：0.</w:t>
            </w:r>
            <w:r>
              <w:rPr>
                <w:rFonts w:hint="eastAsia"/>
                <w:highlight w:val="none"/>
                <w:lang w:val="en-US" w:eastAsia="zh"/>
                <w:woUserID w:val="1"/>
              </w:rPr>
              <w:t>39</w:t>
            </w:r>
            <w:bookmarkStart w:id="142" w:name="_GoBack"/>
            <w:bookmarkEnd w:id="142"/>
            <w:r>
              <w:rPr>
                <w:rFonts w:hint="eastAsia"/>
                <w:highlight w:val="none"/>
                <w:lang w:val="en-US" w:eastAsia="zh-CN"/>
              </w:rPr>
              <w:t>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259" w:type="pct"/>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740" w:type="pct"/>
            <w:gridSpan w:val="5"/>
            <w:vAlign w:val="center"/>
          </w:tcPr>
          <w:p w14:paraId="643B1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2CBBD3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温度：（-20~70）℃，相对湿度：5%RH~95%RH（无凝结）</w:t>
            </w:r>
          </w:p>
          <w:p w14:paraId="6C7AC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121149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温度：（-40~85）℃，相对湿度：0%RH~90%RH（无凝结）</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740" w:type="pct"/>
            <w:gridSpan w:val="5"/>
            <w:vAlign w:val="center"/>
          </w:tcPr>
          <w:p w14:paraId="3BB4DF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0C8727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变送器探头：（-40~85）℃</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740"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22258417">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5"/>
    <w:bookmarkEnd w:id="96"/>
    <w:bookmarkEnd w:id="97"/>
    <w:bookmarkEnd w:id="98"/>
    <w:bookmarkEnd w:id="99"/>
    <w:bookmarkEnd w:id="100"/>
    <w:bookmarkEnd w:id="103"/>
    <w:bookmarkEnd w:id="104"/>
    <w:p w14:paraId="77767A5C">
      <w:pPr>
        <w:rPr>
          <w:rFonts w:hint="eastAsia"/>
          <w:lang w:val="en-US" w:eastAsia="zh-CN"/>
        </w:rPr>
      </w:pPr>
      <w:bookmarkStart w:id="106" w:name="_Toc5059_WPSOffice_Level1"/>
      <w:bookmarkStart w:id="107" w:name="_Toc26576_WPSOffice_Level1"/>
      <w:bookmarkStart w:id="108" w:name="_Toc897_WPSOffice_Level1"/>
      <w:bookmarkStart w:id="109" w:name="_Toc23137"/>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10" w:name="_Toc14720"/>
      <w:r>
        <w:rPr>
          <w:rFonts w:hint="eastAsia" w:ascii="Times New Roman" w:hAnsi="Times New Roman" w:eastAsia="宋体"/>
          <w:b/>
          <w:sz w:val="21"/>
          <w:lang w:val="en-US" w:eastAsia="zh-CN"/>
        </w:rPr>
        <w:t>产品结构与尺寸</w:t>
      </w:r>
      <w:bookmarkEnd w:id="110"/>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1" w:name="_Toc2175"/>
      <w:r>
        <w:rPr>
          <w:rFonts w:hint="eastAsia"/>
          <w:lang w:val="en-US" w:eastAsia="zh-CN"/>
        </w:rPr>
        <w:t>外形尺寸</w:t>
      </w:r>
      <w:bookmarkEnd w:id="111"/>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ascii="宋体" w:hAnsi="宋体" w:eastAsia="宋体" w:cs="宋体"/>
          <w:sz w:val="24"/>
          <w:szCs w:val="24"/>
        </w:rPr>
        <w:drawing>
          <wp:inline distT="0" distB="0" distL="114300" distR="114300">
            <wp:extent cx="2952115" cy="2157095"/>
            <wp:effectExtent l="0" t="0" r="635" b="14605"/>
            <wp:docPr id="2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IMG_256"/>
                    <pic:cNvPicPr>
                      <a:picLocks noChangeAspect="1"/>
                    </pic:cNvPicPr>
                  </pic:nvPicPr>
                  <pic:blipFill>
                    <a:blip r:embed="rId43"/>
                    <a:stretch>
                      <a:fillRect/>
                    </a:stretch>
                  </pic:blipFill>
                  <pic:spPr>
                    <a:xfrm>
                      <a:off x="0" y="0"/>
                      <a:ext cx="2952115" cy="2157095"/>
                    </a:xfrm>
                    <a:prstGeom prst="rect">
                      <a:avLst/>
                    </a:prstGeom>
                    <a:noFill/>
                    <a:ln w="9525">
                      <a:noFill/>
                    </a:ln>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302C8C83">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12" w:name="_Toc16108"/>
      <w:r>
        <w:rPr>
          <w:rFonts w:hint="eastAsia"/>
          <w:b/>
          <w:bCs/>
          <w:lang w:val="en-US" w:eastAsia="zh-CN"/>
        </w:rPr>
        <w:t>连接线缆</w:t>
      </w:r>
      <w:bookmarkEnd w:id="112"/>
    </w:p>
    <w:p w14:paraId="5DE20D63">
      <w:pPr>
        <w:rPr>
          <w:rFonts w:hint="default"/>
          <w:lang w:val="en-US" w:eastAsia="zh-CN"/>
        </w:rPr>
      </w:pPr>
      <w:r>
        <w:rPr>
          <w:rFonts w:hint="eastAsia"/>
          <w:lang w:val="en-US" w:eastAsia="zh-CN"/>
        </w:rPr>
        <w:t>线缆长度：1.5m，其他长度需定制。</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3" w:name="_Toc14870"/>
      <w:r>
        <w:rPr>
          <w:rFonts w:hint="eastAsia" w:ascii="Times New Roman" w:hAnsi="Times New Roman" w:eastAsia="宋体"/>
          <w:b/>
          <w:bCs/>
          <w:lang w:val="en-US" w:eastAsia="zh-CN"/>
        </w:rPr>
        <w:t>材质</w:t>
      </w:r>
      <w:bookmarkEnd w:id="113"/>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eastAsia"/>
          <w:color w:val="auto"/>
          <w:highlight w:val="none"/>
          <w:lang w:val="en-US" w:eastAsia="zh-CN"/>
        </w:rPr>
      </w:pPr>
      <w:r>
        <w:rPr>
          <w:rFonts w:hint="eastAsia"/>
          <w:color w:val="auto"/>
          <w:highlight w:val="none"/>
          <w:lang w:val="en-US" w:eastAsia="zh-CN"/>
        </w:rPr>
        <w:t>主机外壳材质：ABS/PC</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4BF4EC30">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线缆护套材质：聚氯乙烯PVC或聚氨酯PU</w:t>
      </w:r>
    </w:p>
    <w:p w14:paraId="6289190F">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4" w:name="_Toc4919"/>
      <w:r>
        <w:rPr>
          <w:rFonts w:hint="eastAsia" w:ascii="Times New Roman" w:hAnsi="Times New Roman" w:eastAsia="宋体"/>
          <w:b/>
          <w:sz w:val="21"/>
          <w:lang w:val="en-US" w:eastAsia="zh-CN"/>
        </w:rPr>
        <w:t>安装</w:t>
      </w:r>
      <w:bookmarkEnd w:id="106"/>
      <w:bookmarkEnd w:id="107"/>
      <w:bookmarkEnd w:id="108"/>
      <w:bookmarkEnd w:id="109"/>
      <w:bookmarkStart w:id="115" w:name="_Toc23325"/>
      <w:bookmarkStart w:id="116" w:name="_Toc19936"/>
      <w:bookmarkStart w:id="117" w:name="_Toc2997_WPSOffice_Level2"/>
      <w:bookmarkStart w:id="118" w:name="_Toc8102_WPSOffice_Level2"/>
      <w:bookmarkStart w:id="119" w:name="_Toc5895_WPSOffice_Level2"/>
      <w:r>
        <w:rPr>
          <w:rFonts w:hint="eastAsia"/>
          <w:b/>
          <w:sz w:val="21"/>
          <w:lang w:val="en-US" w:eastAsia="zh-CN"/>
        </w:rPr>
        <w:t>与使用</w:t>
      </w:r>
      <w:bookmarkEnd w:id="114"/>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20" w:name="_Toc25939"/>
      <w:bookmarkStart w:id="121" w:name="_Toc29826"/>
      <w:bookmarkStart w:id="122" w:name="_Toc30250"/>
      <w:r>
        <w:rPr>
          <w:rFonts w:hint="eastAsia" w:ascii="Times New Roman" w:hAnsi="Times New Roman" w:eastAsia="宋体"/>
          <w:lang w:val="en-US" w:eastAsia="zh-CN"/>
        </w:rPr>
        <w:t>到货检查</w:t>
      </w:r>
      <w:bookmarkEnd w:id="120"/>
      <w:bookmarkEnd w:id="121"/>
      <w:bookmarkEnd w:id="122"/>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3" w:name="_Toc22767"/>
      <w:bookmarkStart w:id="124" w:name="_Toc22460"/>
      <w:bookmarkStart w:id="125" w:name="_Toc13983"/>
      <w:r>
        <w:rPr>
          <w:rFonts w:hint="eastAsia"/>
          <w:highlight w:val="none"/>
          <w:lang w:val="en-US" w:eastAsia="zh-CN"/>
        </w:rPr>
        <w:t>安装注意</w:t>
      </w:r>
      <w:bookmarkEnd w:id="123"/>
      <w:bookmarkEnd w:id="124"/>
      <w:bookmarkEnd w:id="125"/>
    </w:p>
    <w:p w14:paraId="4CDFCD5B">
      <w:pPr>
        <w:numPr>
          <w:ilvl w:val="0"/>
          <w:numId w:val="7"/>
        </w:numPr>
      </w:pPr>
      <w:r>
        <w:rPr>
          <w:rFonts w:hint="eastAsia"/>
          <w:highlight w:val="none"/>
          <w:lang w:val="en-US" w:eastAsia="zh-CN"/>
        </w:rPr>
        <w:t>确</w:t>
      </w:r>
      <w:r>
        <w:rPr>
          <w:rFonts w:hint="eastAsia" w:ascii="Times New Roman" w:hAnsi="Times New Roman" w:eastAsia="宋体"/>
          <w:highlight w:val="none"/>
          <w:lang w:val="en-US" w:eastAsia="zh-CN"/>
        </w:rPr>
        <w:t>保传感器通风良好，勿遮挡气体扩散孔。如在风道中，避免气流直吹气体扩散孔。传感器应避免阳光直射和热辐射。</w:t>
      </w:r>
    </w:p>
    <w:p w14:paraId="657694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应避免接触腐蚀性气体，以免传感器性能和可靠性退化</w:t>
      </w:r>
      <w:r>
        <w:rPr>
          <w:rFonts w:hint="eastAsia"/>
          <w:highlight w:val="none"/>
          <w:lang w:val="en-US" w:eastAsia="zh-CN"/>
        </w:rPr>
        <w:t>。</w:t>
      </w:r>
    </w:p>
    <w:p w14:paraId="6A6EB3F6">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传感器不可过度的撞击或震动</w:t>
      </w:r>
      <w:r>
        <w:rPr>
          <w:rFonts w:hint="eastAsia"/>
          <w:highlight w:val="none"/>
          <w:lang w:val="en-US" w:eastAsia="zh-CN"/>
        </w:rPr>
        <w:t>。</w:t>
      </w:r>
    </w:p>
    <w:p w14:paraId="36E73A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禁止用热熔胶或者固化温度高于 80℃以上的密封胶封装传感器</w:t>
      </w:r>
      <w:r>
        <w:rPr>
          <w:rFonts w:hint="eastAsia"/>
          <w:highlight w:val="none"/>
          <w:lang w:val="en-US" w:eastAsia="zh-CN"/>
        </w:rPr>
        <w:t>。</w:t>
      </w:r>
    </w:p>
    <w:p w14:paraId="0ACA589C">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6" w:name="_Toc21362"/>
      <w:bookmarkStart w:id="127" w:name="_Toc21119"/>
      <w:r>
        <w:rPr>
          <w:rFonts w:hint="eastAsia"/>
          <w:highlight w:val="none"/>
          <w:lang w:val="en-US" w:eastAsia="zh-CN"/>
        </w:rPr>
        <w:t>安装示意</w:t>
      </w:r>
      <w:bookmarkEnd w:id="126"/>
      <w:bookmarkEnd w:id="127"/>
    </w:p>
    <w:bookmarkEnd w:id="115"/>
    <w:bookmarkEnd w:id="116"/>
    <w:bookmarkEnd w:id="117"/>
    <w:bookmarkEnd w:id="118"/>
    <w:bookmarkEnd w:id="119"/>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如下图所示方向，将配件安装在变送器背面，两颗螺丝固定，变送器可以直接卡在35mm的导轨上。</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0" distR="0">
            <wp:extent cx="2612390" cy="1018540"/>
            <wp:effectExtent l="0" t="0" r="16510" b="10160"/>
            <wp:docPr id="20" name="图片 20" descr="C:\Users\shuttle\AppData\Local\Temp\企业微信截图_1755222268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shuttle\AppData\Local\Temp\企业微信截图_17552222682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2613176" cy="1019138"/>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1F4E1BC6">
      <w:pPr>
        <w:ind w:firstLine="360" w:firstLineChars="200"/>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也可以安装固定卡片，如下如所示，向上推动弹簧，将卡片卡进，以方便螺丝或者扎带进行固定安装。</w:t>
      </w:r>
    </w:p>
    <w:p w14:paraId="6ABF4C7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drawing>
          <wp:inline distT="0" distB="0" distL="114300" distR="114300">
            <wp:extent cx="2160270" cy="1085850"/>
            <wp:effectExtent l="0" t="0" r="11430" b="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45"/>
                    <a:stretch>
                      <a:fillRect/>
                    </a:stretch>
                  </pic:blipFill>
                  <pic:spPr>
                    <a:xfrm>
                      <a:off x="0" y="0"/>
                      <a:ext cx="2160270" cy="1085850"/>
                    </a:xfrm>
                    <a:prstGeom prst="rect">
                      <a:avLst/>
                    </a:prstGeom>
                    <a:noFill/>
                    <a:ln>
                      <a:noFill/>
                    </a:ln>
                  </pic:spPr>
                </pic:pic>
              </a:graphicData>
            </a:graphic>
          </wp:inline>
        </w:drawing>
      </w:r>
    </w:p>
    <w:p w14:paraId="0E391D8F">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lang w:val="zh-TW" w:eastAsia="zh-CN"/>
        </w:rPr>
        <w:t>安装</w:t>
      </w:r>
      <w:r>
        <w:rPr>
          <w:rFonts w:hint="eastAsia"/>
          <w:lang w:val="en-US" w:eastAsia="zh-CN"/>
        </w:rPr>
        <w:t>示意图</w:t>
      </w:r>
    </w:p>
    <w:p w14:paraId="594A8BE5">
      <w:pPr>
        <w:rPr>
          <w:rFonts w:hint="eastAsia"/>
          <w:color w:val="auto"/>
          <w:highlight w:val="none"/>
          <w:lang w:val="en-US" w:eastAsia="zh-CN"/>
        </w:rPr>
      </w:pPr>
      <w:r>
        <w:rPr>
          <w:rFonts w:hint="eastAsia"/>
          <w:color w:val="auto"/>
          <w:highlight w:val="none"/>
          <w:lang w:val="en-US" w:eastAsia="zh-CN"/>
        </w:rPr>
        <w:br w:type="page"/>
      </w: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8" w:name="_Toc32765"/>
      <w:r>
        <w:rPr>
          <w:rFonts w:hint="eastAsia" w:ascii="Times New Roman" w:hAnsi="Times New Roman" w:eastAsia="宋体"/>
          <w:b/>
          <w:sz w:val="21"/>
          <w:lang w:val="en-US" w:eastAsia="zh-CN"/>
        </w:rPr>
        <w:t>操作</w:t>
      </w:r>
      <w:bookmarkEnd w:id="128"/>
    </w:p>
    <w:p w14:paraId="27B9529C">
      <w:pPr>
        <w:pStyle w:val="3"/>
        <w:bidi w:val="0"/>
        <w:rPr>
          <w:rFonts w:hint="default"/>
          <w:lang w:val="en-US" w:eastAsia="zh-CN"/>
        </w:rPr>
      </w:pPr>
      <w:bookmarkStart w:id="129" w:name="_Toc22659"/>
      <w:r>
        <w:rPr>
          <w:rFonts w:hint="eastAsia"/>
          <w:lang w:val="en-US" w:eastAsia="zh-CN"/>
        </w:rPr>
        <w:t>显示与操作单元</w:t>
      </w:r>
      <w:bookmarkEnd w:id="129"/>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1820545" cy="3420110"/>
            <wp:effectExtent l="0" t="0" r="8255" b="889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6"/>
                    <a:stretch>
                      <a:fillRect/>
                    </a:stretch>
                  </pic:blipFill>
                  <pic:spPr>
                    <a:xfrm>
                      <a:off x="0" y="0"/>
                      <a:ext cx="1820545" cy="3420110"/>
                    </a:xfrm>
                    <a:prstGeom prst="rect">
                      <a:avLst/>
                    </a:prstGeom>
                    <a:noFill/>
                    <a:ln>
                      <a:noFill/>
                    </a:ln>
                  </pic:spPr>
                </pic:pic>
              </a:graphicData>
            </a:graphic>
          </wp:inline>
        </w:drawing>
      </w:r>
    </w:p>
    <w:p w14:paraId="4F3840F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4ADC4F2F">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90"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09"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09" w:type="pct"/>
            <w:noWrap w:val="0"/>
            <w:vAlign w:val="center"/>
          </w:tcPr>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系统时间</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09"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09"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09"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09"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09"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氟利昂浓度测量值</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0"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09"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识别倒计时，设备识别后，开始600秒倒计时</w:t>
            </w:r>
          </w:p>
        </w:tc>
      </w:tr>
      <w:tr w14:paraId="18A1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6E19148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4309" w:type="pct"/>
            <w:noWrap w:val="0"/>
            <w:vAlign w:val="center"/>
          </w:tcPr>
          <w:p w14:paraId="1EB05B1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报警信息</w:t>
            </w:r>
          </w:p>
        </w:tc>
      </w:tr>
    </w:tbl>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w:t>
      </w:r>
      <w:r>
        <w:rPr>
          <w:lang w:val="en-US" w:eastAsia="zh-CN"/>
        </w:rPr>
        <w:t>左侧</w:t>
      </w:r>
      <w:r>
        <w:rPr>
          <w:rFonts w:hint="eastAsia"/>
          <w:lang w:val="en-US" w:eastAsia="zh-CN"/>
        </w:rPr>
        <w:t>1个操作按键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4073"/>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0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409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409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点亮屏幕、背光灯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06EDC39B">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列表换行、选项切换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修改参数值加1</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4096" w:type="pct"/>
            <w:noWrap w:val="0"/>
            <w:vAlign w:val="center"/>
          </w:tcPr>
          <w:p w14:paraId="1909ABCE">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进入参数修改子界面</w:t>
            </w:r>
          </w:p>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4096" w:type="pct"/>
            <w:noWrap w:val="0"/>
            <w:vAlign w:val="center"/>
          </w:tcPr>
          <w:p w14:paraId="1ED1BDE9">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进入参数设置界面</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4096" w:type="pct"/>
            <w:noWrap w:val="0"/>
            <w:vAlign w:val="center"/>
          </w:tcPr>
          <w:p w14:paraId="1B17C0F7">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长按5~6秒，系统灯白色闪烁，松开按键后设备重启。</w:t>
            </w:r>
          </w:p>
        </w:tc>
      </w:tr>
    </w:tbl>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pPr>
      <w:r>
        <w:rPr>
          <w:rFonts w:hint="default"/>
          <w:lang w:val="en-US" w:eastAsia="zh-CN"/>
        </w:rPr>
        <w:t>通</w:t>
      </w:r>
      <w:r>
        <w:rPr>
          <w:rFonts w:hint="eastAsia"/>
          <w:lang w:val="en-US" w:eastAsia="zh-CN"/>
        </w:rPr>
        <w:t>信</w:t>
      </w:r>
      <w:r>
        <w:rPr>
          <w:rFonts w:hint="default"/>
          <w:lang w:val="en-US" w:eastAsia="zh-CN"/>
        </w:rPr>
        <w:t xml:space="preserve">指示灯：绿色闪烁，表示通讯正常 </w:t>
      </w:r>
    </w:p>
    <w:p w14:paraId="002485E5">
      <w:pPr>
        <w:bidi w:val="0"/>
        <w:rPr>
          <w:rFonts w:hint="default"/>
          <w:lang w:val="en-US" w:eastAsia="zh-CN"/>
        </w:rPr>
      </w:pPr>
      <w:r>
        <w:rPr>
          <w:rFonts w:hint="default"/>
          <w:lang w:val="en-US" w:eastAsia="zh-CN"/>
        </w:rPr>
        <w:t>系统指示灯：</w:t>
      </w:r>
    </w:p>
    <w:p w14:paraId="1D3B8E6E">
      <w:pPr>
        <w:bidi w:val="0"/>
      </w:pPr>
      <w:r>
        <w:rPr>
          <w:rFonts w:hint="default"/>
          <w:lang w:val="en-US" w:eastAsia="zh-CN"/>
        </w:rPr>
        <w:t xml:space="preserve">绿色闪烁，表示设备正常 </w:t>
      </w:r>
    </w:p>
    <w:p w14:paraId="4FD57492">
      <w:pPr>
        <w:bidi w:val="0"/>
      </w:pPr>
      <w:r>
        <w:rPr>
          <w:rFonts w:hint="default"/>
          <w:lang w:val="en-US" w:eastAsia="zh-CN"/>
        </w:rPr>
        <w:t xml:space="preserve">橙色闪烁，表示设备报警 </w:t>
      </w:r>
    </w:p>
    <w:p w14:paraId="5E8FE81D">
      <w:pPr>
        <w:bidi w:val="0"/>
      </w:pPr>
      <w:r>
        <w:rPr>
          <w:rFonts w:hint="default"/>
          <w:lang w:val="en-US" w:eastAsia="zh-CN"/>
        </w:rPr>
        <w:t>红色闪烁，表示设备故障</w:t>
      </w: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报警及故障信息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5"/>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500"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0"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323E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7A1580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2500" w:type="pct"/>
            <w:noWrap w:val="0"/>
            <w:vAlign w:val="center"/>
          </w:tcPr>
          <w:p w14:paraId="08ACF10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板温</w:t>
            </w:r>
          </w:p>
        </w:tc>
      </w:tr>
      <w:tr w14:paraId="325C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3CE916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2500" w:type="pct"/>
            <w:noWrap w:val="0"/>
            <w:vAlign w:val="center"/>
          </w:tcPr>
          <w:p w14:paraId="3544CA3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w:t>
            </w:r>
          </w:p>
        </w:tc>
      </w:tr>
      <w:tr w14:paraId="415E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AE486A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2500" w:type="pct"/>
            <w:noWrap w:val="0"/>
            <w:vAlign w:val="center"/>
          </w:tcPr>
          <w:p w14:paraId="1AB5A72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0"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3D62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500" w:type="pct"/>
            <w:noWrap w:val="0"/>
            <w:vAlign w:val="center"/>
          </w:tcPr>
          <w:p w14:paraId="56415F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2500" w:type="pct"/>
            <w:noWrap w:val="0"/>
            <w:vAlign w:val="center"/>
          </w:tcPr>
          <w:p w14:paraId="19037B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0"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r w14:paraId="2AE6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58BA0F8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2500" w:type="pct"/>
            <w:noWrap w:val="0"/>
            <w:vAlign w:val="center"/>
          </w:tcPr>
          <w:p w14:paraId="2246A5E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其他</w:t>
            </w:r>
          </w:p>
        </w:tc>
      </w:tr>
    </w:tbl>
    <w:p w14:paraId="53F37C6E">
      <w:pPr>
        <w:bidi w:val="0"/>
      </w:pPr>
      <w:r>
        <w:rPr>
          <w:lang w:val="en-US" w:eastAsia="zh-CN"/>
        </w:rPr>
        <w:t>例如：图中状态码显示</w:t>
      </w:r>
      <w:r>
        <w:rPr>
          <w:rFonts w:hint="eastAsia"/>
          <w:lang w:val="en-US" w:eastAsia="zh-CN"/>
        </w:rPr>
        <w:t>6</w:t>
      </w:r>
      <w:r>
        <w:rPr>
          <w:lang w:val="en-US" w:eastAsia="zh-CN"/>
        </w:rPr>
        <w:t>，标识</w:t>
      </w:r>
      <w:r>
        <w:rPr>
          <w:rFonts w:hint="eastAsia"/>
          <w:lang w:val="en-US" w:eastAsia="zh-CN"/>
        </w:rPr>
        <w:t>传感器报警</w:t>
      </w:r>
      <w:r>
        <w:rPr>
          <w:lang w:val="en-US" w:eastAsia="zh-CN"/>
        </w:rPr>
        <w:t>，</w:t>
      </w:r>
      <w:r>
        <w:rPr>
          <w:rFonts w:hint="eastAsia"/>
          <w:lang w:val="en-US" w:eastAsia="zh-CN"/>
        </w:rPr>
        <w:t>表示当前采集氟利昂气体浓度值触发报警阈值</w:t>
      </w:r>
      <w:r>
        <w:rPr>
          <w:rFonts w:hint="default"/>
          <w:lang w:val="en-US" w:eastAsia="zh-CN"/>
        </w:rPr>
        <w:t>。</w:t>
      </w:r>
    </w:p>
    <w:p w14:paraId="5C275928">
      <w:pPr>
        <w:pStyle w:val="3"/>
        <w:bidi w:val="0"/>
        <w:ind w:left="567" w:hanging="567"/>
        <w:rPr>
          <w:rFonts w:hint="default"/>
          <w:lang w:val="en-US" w:eastAsia="zh-CN"/>
        </w:rPr>
      </w:pPr>
      <w:bookmarkStart w:id="130" w:name="_Toc15596"/>
      <w:r>
        <w:rPr>
          <w:rFonts w:hint="eastAsia"/>
          <w:lang w:val="en-US" w:eastAsia="zh-CN"/>
        </w:rPr>
        <w:t>现场操作</w:t>
      </w:r>
      <w:bookmarkEnd w:id="130"/>
    </w:p>
    <w:p w14:paraId="7372137C">
      <w:pPr>
        <w:pStyle w:val="4"/>
        <w:bidi w:val="0"/>
        <w:ind w:left="720" w:leftChars="0" w:hanging="720" w:firstLineChars="0"/>
        <w:rPr>
          <w:rFonts w:hint="eastAsia"/>
          <w:lang w:val="en-US" w:eastAsia="zh-CN"/>
        </w:rPr>
      </w:pPr>
      <w:r>
        <w:rPr>
          <w:rFonts w:hint="eastAsia"/>
          <w:lang w:val="en-US" w:eastAsia="zh-CN"/>
        </w:rPr>
        <w:t xml:space="preserve"> 设备按键操作</w:t>
      </w:r>
    </w:p>
    <w:p w14:paraId="69168BA8">
      <w:pPr>
        <w:bidi w:val="0"/>
        <w:rPr>
          <w:rFonts w:hint="eastAsia"/>
          <w:lang w:val="en-US" w:eastAsia="zh-CN"/>
        </w:rPr>
      </w:pPr>
      <w:r>
        <w:rPr>
          <w:rFonts w:hint="eastAsia"/>
          <w:lang w:val="en-US" w:eastAsia="zh-CN"/>
        </w:rPr>
        <w:t>操作说明：单击按键点亮屏幕，显示监测值等信息；再次单击按键点亮背景灯，再次单击按键显示二维码</w:t>
      </w:r>
      <w:r>
        <w:rPr>
          <w:rFonts w:hint="default"/>
          <w:lang w:val="en-US" w:eastAsia="zh-CN"/>
        </w:rPr>
        <w:t>。</w:t>
      </w:r>
      <w:r>
        <w:rPr>
          <w:rFonts w:hint="eastAsia"/>
          <w:lang w:val="en-US" w:eastAsia="zh-CN"/>
        </w:rPr>
        <w:t>在二维码界面下三击按键进入参数设置界面。</w:t>
      </w:r>
    </w:p>
    <w:p w14:paraId="63C783C2">
      <w:pPr>
        <w:keepNext w:val="0"/>
        <w:keepLines w:val="0"/>
        <w:widowControl w:val="0"/>
        <w:suppressLineNumbers w:val="0"/>
        <w:spacing w:before="0" w:beforeAutospacing="0" w:after="0" w:afterAutospacing="0"/>
        <w:ind w:left="0" w:right="0" w:firstLine="360" w:firstLineChars="200"/>
        <w:jc w:val="both"/>
        <w:rPr>
          <w:rFonts w:hint="default" w:ascii="Calibri" w:hAnsi="Calibri" w:eastAsia="宋体" w:cs="Times New Roman"/>
          <w:kern w:val="2"/>
          <w:sz w:val="24"/>
          <w:szCs w:val="24"/>
        </w:rPr>
      </w:pPr>
      <w:r>
        <w:rPr>
          <w:rFonts w:hint="eastAsia"/>
          <w:lang w:val="en-US" w:eastAsia="zh-CN"/>
        </w:rPr>
        <w:t>参数设置：进入参数设置界面后，可以对设备地址（</w:t>
      </w:r>
      <w:r>
        <w:rPr>
          <w:rFonts w:hint="default"/>
          <w:lang w:val="en-US" w:eastAsia="zh-CN"/>
        </w:rPr>
        <w:t>Address</w:t>
      </w:r>
      <w:r>
        <w:rPr>
          <w:rFonts w:hint="eastAsia"/>
          <w:lang w:val="en-US" w:eastAsia="zh-CN"/>
        </w:rPr>
        <w:t>）、</w:t>
      </w:r>
      <w:r>
        <w:rPr>
          <w:rFonts w:hint="default"/>
          <w:lang w:val="en-US" w:eastAsia="zh-CN"/>
        </w:rPr>
        <w:t>LORA</w:t>
      </w:r>
      <w:r>
        <w:rPr>
          <w:rFonts w:hint="eastAsia"/>
          <w:lang w:val="en-US" w:eastAsia="zh-CN"/>
        </w:rPr>
        <w:t>网络（</w:t>
      </w:r>
      <w:r>
        <w:rPr>
          <w:rFonts w:hint="default"/>
          <w:lang w:val="en-US" w:eastAsia="zh-CN"/>
        </w:rPr>
        <w:t>Net</w:t>
      </w:r>
      <w:r>
        <w:rPr>
          <w:rFonts w:hint="eastAsia"/>
          <w:lang w:val="en-US" w:eastAsia="zh-CN"/>
        </w:rPr>
        <w:t>、</w:t>
      </w:r>
      <w:r>
        <w:rPr>
          <w:rFonts w:hint="default"/>
          <w:lang w:val="en-US" w:eastAsia="zh-CN"/>
        </w:rPr>
        <w:t>Channel</w:t>
      </w:r>
      <w:r>
        <w:rPr>
          <w:rFonts w:hint="eastAsia"/>
          <w:lang w:val="en-US" w:eastAsia="zh-CN"/>
        </w:rPr>
        <w:t>）等参数进行设置。在</w:t>
      </w:r>
      <w:r>
        <w:rPr>
          <w:rFonts w:hint="default"/>
          <w:lang w:val="en-US" w:eastAsia="zh-CN"/>
        </w:rPr>
        <w:t>Setting</w:t>
      </w:r>
      <w:r>
        <w:rPr>
          <w:rFonts w:hint="eastAsia"/>
          <w:lang w:val="en-US" w:eastAsia="zh-CN"/>
        </w:rPr>
        <w:t>界面，单击按键进行列表换行，如下图所示，按键双击进入该参数设置界面。</w:t>
      </w:r>
    </w:p>
    <w:p w14:paraId="778D7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77010" cy="1080135"/>
            <wp:effectExtent l="0" t="0" r="8890" b="5715"/>
            <wp:docPr id="6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2"/>
                    <pic:cNvPicPr>
                      <a:picLocks noChangeAspect="1"/>
                    </pic:cNvPicPr>
                  </pic:nvPicPr>
                  <pic:blipFill>
                    <a:blip r:embed="rId47"/>
                    <a:stretch>
                      <a:fillRect/>
                    </a:stretch>
                  </pic:blipFill>
                  <pic:spPr>
                    <a:xfrm>
                      <a:off x="0" y="0"/>
                      <a:ext cx="1477010" cy="1080135"/>
                    </a:xfrm>
                    <a:prstGeom prst="rect">
                      <a:avLst/>
                    </a:prstGeom>
                    <a:noFill/>
                    <a:ln>
                      <a:noFill/>
                    </a:ln>
                  </pic:spPr>
                </pic:pic>
              </a:graphicData>
            </a:graphic>
          </wp:inline>
        </w:drawing>
      </w:r>
    </w:p>
    <w:p w14:paraId="5E4CAE6D">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参数界面</w:t>
      </w:r>
    </w:p>
    <w:p w14:paraId="01459A08">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进入某一参数修改界面后，如下图所示，第一行为参数值，</w:t>
      </w:r>
      <w:r>
        <w:drawing>
          <wp:inline distT="0" distB="0" distL="114300" distR="114300">
            <wp:extent cx="118110" cy="125730"/>
            <wp:effectExtent l="0" t="0" r="15240" b="7620"/>
            <wp:docPr id="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表示保存，</w:t>
      </w:r>
      <w:r>
        <w:drawing>
          <wp:inline distT="0" distB="0" distL="114300" distR="114300">
            <wp:extent cx="118110" cy="125730"/>
            <wp:effectExtent l="0" t="0" r="15240" b="7620"/>
            <wp:docPr id="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表示返回到上一级；按键单击，操作标志在四个选项上循环切换，操作标志在某一选项上时该选项背景变为深色。</w:t>
      </w:r>
    </w:p>
    <w:p w14:paraId="576F7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29385" cy="1080135"/>
            <wp:effectExtent l="0" t="0" r="18415" b="5715"/>
            <wp:docPr id="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
                    <pic:cNvPicPr>
                      <a:picLocks noChangeAspect="1"/>
                    </pic:cNvPicPr>
                  </pic:nvPicPr>
                  <pic:blipFill>
                    <a:blip r:embed="rId50"/>
                    <a:stretch>
                      <a:fillRect/>
                    </a:stretch>
                  </pic:blipFill>
                  <pic:spPr>
                    <a:xfrm>
                      <a:off x="0" y="0"/>
                      <a:ext cx="1429385" cy="1080135"/>
                    </a:xfrm>
                    <a:prstGeom prst="rect">
                      <a:avLst/>
                    </a:prstGeom>
                    <a:noFill/>
                    <a:ln>
                      <a:noFill/>
                    </a:ln>
                  </pic:spPr>
                </pic:pic>
              </a:graphicData>
            </a:graphic>
          </wp:inline>
        </w:drawing>
      </w:r>
    </w:p>
    <w:p w14:paraId="472D7BCE">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eastAsiaTheme="minorEastAsia"/>
          <w:lang w:val="en-US" w:eastAsia="zh-CN"/>
        </w:rPr>
        <w:t>参数子界面示意图</w:t>
      </w:r>
    </w:p>
    <w:p w14:paraId="0B6B6054">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参数修改示例，操作标志移动到第一行，双击按键，如下图所示，出现三角形后，单击按键，单击一次，该值加</w:t>
      </w:r>
      <w:r>
        <w:rPr>
          <w:rFonts w:hint="default"/>
          <w:lang w:val="en-US" w:eastAsia="zh-CN"/>
        </w:rPr>
        <w:t>1</w:t>
      </w:r>
      <w:r>
        <w:rPr>
          <w:rFonts w:hint="eastAsia"/>
          <w:lang w:val="en-US" w:eastAsia="zh-CN"/>
        </w:rPr>
        <w:t>，重复</w:t>
      </w:r>
      <w:r>
        <w:rPr>
          <w:rFonts w:hint="default"/>
          <w:lang w:val="en-US" w:eastAsia="zh-CN"/>
        </w:rPr>
        <w:t>0-9</w:t>
      </w:r>
      <w:r>
        <w:rPr>
          <w:rFonts w:hint="eastAsia"/>
          <w:lang w:val="en-US" w:eastAsia="zh-CN"/>
        </w:rPr>
        <w:t>的循环。值确定后，按键双击，三角形消失。操作标志移动到</w:t>
      </w:r>
      <w:r>
        <w:drawing>
          <wp:inline distT="0" distB="0" distL="114300" distR="114300">
            <wp:extent cx="118110" cy="125730"/>
            <wp:effectExtent l="0" t="0" r="15240" b="7620"/>
            <wp:docPr id="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，按键双击保存设置。操作标志移动到</w:t>
      </w:r>
      <w:r>
        <w:drawing>
          <wp:inline distT="0" distB="0" distL="114300" distR="114300">
            <wp:extent cx="118110" cy="125730"/>
            <wp:effectExtent l="0" t="0" r="15240" b="7620"/>
            <wp:docPr id="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，按键双击返回到</w:t>
      </w:r>
      <w:r>
        <w:rPr>
          <w:rFonts w:hint="default"/>
          <w:lang w:val="en-US" w:eastAsia="zh-CN"/>
        </w:rPr>
        <w:t>Setting</w:t>
      </w:r>
      <w:r>
        <w:rPr>
          <w:rFonts w:hint="eastAsia"/>
          <w:lang w:val="en-US" w:eastAsia="zh-CN"/>
        </w:rPr>
        <w:t>界面。</w:t>
      </w:r>
    </w:p>
    <w:p w14:paraId="479FFA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pPr>
      <w:r>
        <w:drawing>
          <wp:inline distT="0" distB="0" distL="114300" distR="114300">
            <wp:extent cx="2989580" cy="1080135"/>
            <wp:effectExtent l="0" t="0" r="1270" b="5715"/>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51"/>
                    <a:stretch>
                      <a:fillRect/>
                    </a:stretch>
                  </pic:blipFill>
                  <pic:spPr>
                    <a:xfrm>
                      <a:off x="0" y="0"/>
                      <a:ext cx="2989580" cy="1080135"/>
                    </a:xfrm>
                    <a:prstGeom prst="rect">
                      <a:avLst/>
                    </a:prstGeom>
                    <a:noFill/>
                    <a:ln>
                      <a:noFill/>
                    </a:ln>
                  </pic:spPr>
                </pic:pic>
              </a:graphicData>
            </a:graphic>
          </wp:inline>
        </w:drawing>
      </w:r>
    </w:p>
    <w:p w14:paraId="4B816BB0">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pPr>
      <w:r>
        <w:rPr>
          <w:rFonts w:hint="eastAsia" w:eastAsiaTheme="minorEastAsia"/>
          <w:lang w:val="en-US" w:eastAsia="zh-CN"/>
        </w:rPr>
        <w:t>操作示意图</w:t>
      </w:r>
    </w:p>
    <w:p w14:paraId="1A37BD89">
      <w:pPr>
        <w:bidi w:val="0"/>
        <w:rPr>
          <w:rFonts w:hint="eastAsia" w:cs="Times New Roman"/>
          <w:color w:val="auto"/>
          <w:sz w:val="18"/>
          <w:szCs w:val="18"/>
          <w:vertAlign w:val="baseline"/>
          <w:lang w:val="en-US" w:eastAsia="zh-CN"/>
        </w:rPr>
      </w:pPr>
      <w:r>
        <w:rPr>
          <w:rFonts w:hint="eastAsia"/>
          <w:lang w:val="en-US" w:eastAsia="zh-CN"/>
        </w:rPr>
        <w:t>校准操作：进入</w:t>
      </w:r>
      <w:r>
        <w:rPr>
          <w:rFonts w:hint="eastAsia" w:cs="Times New Roman"/>
          <w:color w:val="auto"/>
          <w:sz w:val="18"/>
          <w:szCs w:val="18"/>
          <w:vertAlign w:val="baseline"/>
          <w:lang w:val="en-US" w:eastAsia="zh-CN"/>
        </w:rPr>
        <w:t>Calibration页面可对传感器进行校准。校准时需准备在氟利昂浓度为零的环境中进行校准。</w:t>
      </w:r>
    </w:p>
    <w:p w14:paraId="2A1DD7E0">
      <w:pPr>
        <w:bidi w:val="0"/>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零点校准：将传感器放在氟利昂浓度为零的环境中，待3~5分钟数值稳定后进行零点校准。</w:t>
      </w:r>
      <w:r>
        <w:rPr>
          <w:rFonts w:hint="eastAsia"/>
          <w:lang w:val="en-US" w:eastAsia="zh-CN"/>
        </w:rPr>
        <w:t xml:space="preserve">进入参数设置界面后再进入校准子界面，光标选中Zero </w:t>
      </w:r>
      <w:r>
        <w:rPr>
          <w:rFonts w:hint="eastAsia" w:cs="Times New Roman"/>
          <w:color w:val="auto"/>
          <w:sz w:val="18"/>
          <w:szCs w:val="18"/>
          <w:vertAlign w:val="baseline"/>
          <w:lang w:val="en-US" w:eastAsia="zh-CN"/>
        </w:rPr>
        <w:t>Calib，双击按键，等待界面显示OK。</w:t>
      </w:r>
    </w:p>
    <w:p w14:paraId="133C6801">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ascii="宋体" w:hAnsi="宋体" w:eastAsia="宋体" w:cs="宋体"/>
          <w:sz w:val="24"/>
          <w:szCs w:val="24"/>
        </w:rPr>
        <w:drawing>
          <wp:inline distT="0" distB="0" distL="114300" distR="114300">
            <wp:extent cx="1476375" cy="1080135"/>
            <wp:effectExtent l="0" t="0" r="9525" b="5715"/>
            <wp:docPr id="4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descr="IMG_256"/>
                    <pic:cNvPicPr>
                      <a:picLocks noChangeAspect="1"/>
                    </pic:cNvPicPr>
                  </pic:nvPicPr>
                  <pic:blipFill>
                    <a:blip r:embed="rId52"/>
                    <a:stretch>
                      <a:fillRect/>
                    </a:stretch>
                  </pic:blipFill>
                  <pic:spPr>
                    <a:xfrm>
                      <a:off x="0" y="0"/>
                      <a:ext cx="1476375" cy="1080135"/>
                    </a:xfrm>
                    <a:prstGeom prst="rect">
                      <a:avLst/>
                    </a:prstGeom>
                    <a:noFill/>
                    <a:ln w="9525">
                      <a:noFill/>
                    </a:ln>
                  </pic:spPr>
                </pic:pic>
              </a:graphicData>
            </a:graphic>
          </wp:inline>
        </w:drawing>
      </w:r>
    </w:p>
    <w:p w14:paraId="07505409">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校准子界面</w:t>
      </w:r>
    </w:p>
    <w:p w14:paraId="332C904B">
      <w:pPr>
        <w:bidi w:val="0"/>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校准说明：仅传感器不准时使用，非必要无需进行校准。</w:t>
      </w:r>
    </w:p>
    <w:p w14:paraId="0525306C">
      <w:pPr>
        <w:pStyle w:val="4"/>
        <w:bidi w:val="0"/>
        <w:ind w:left="720" w:leftChars="0" w:hanging="720" w:firstLineChars="0"/>
        <w:rPr>
          <w:rFonts w:hint="default"/>
          <w:lang w:val="en-US" w:eastAsia="zh-CN"/>
        </w:rPr>
      </w:pPr>
      <w:r>
        <w:rPr>
          <w:rFonts w:hint="eastAsia"/>
          <w:lang w:val="en-US" w:eastAsia="zh-CN"/>
        </w:rPr>
        <w:t xml:space="preserve"> 页面参数说明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参数列表</w:t>
      </w:r>
    </w:p>
    <w:tbl>
      <w:tblPr>
        <w:tblStyle w:val="34"/>
        <w:tblW w:w="50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7"/>
        <w:gridCol w:w="1009"/>
        <w:gridCol w:w="1040"/>
        <w:gridCol w:w="1891"/>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1040" w:type="pct"/>
            <w:shd w:val="clear" w:color="auto" w:fill="D7D7D7" w:themeFill="background1" w:themeFillShade="D8"/>
            <w:vAlign w:val="center"/>
          </w:tcPr>
          <w:p w14:paraId="1FC2C5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参数名称</w:t>
            </w:r>
          </w:p>
        </w:tc>
        <w:tc>
          <w:tcPr>
            <w:tcW w:w="1072" w:type="pct"/>
            <w:shd w:val="clear" w:color="auto" w:fill="D7D7D7" w:themeFill="background1" w:themeFillShade="D8"/>
            <w:vAlign w:val="center"/>
          </w:tcPr>
          <w:p w14:paraId="6146C8E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取值范围</w:t>
            </w:r>
          </w:p>
        </w:tc>
        <w:tc>
          <w:tcPr>
            <w:tcW w:w="1949"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备注</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936"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Setting</w:t>
            </w:r>
          </w:p>
        </w:tc>
        <w:tc>
          <w:tcPr>
            <w:tcW w:w="1040" w:type="pct"/>
            <w:vAlign w:val="center"/>
          </w:tcPr>
          <w:p w14:paraId="15FDB3E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Address</w:t>
            </w:r>
          </w:p>
        </w:tc>
        <w:tc>
          <w:tcPr>
            <w:tcW w:w="1072" w:type="pct"/>
            <w:vAlign w:val="center"/>
          </w:tcPr>
          <w:p w14:paraId="477F77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2B8D745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RS485：1-99</w:t>
            </w:r>
          </w:p>
        </w:tc>
        <w:tc>
          <w:tcPr>
            <w:tcW w:w="1949"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5D2190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Net</w:t>
            </w:r>
          </w:p>
        </w:tc>
        <w:tc>
          <w:tcPr>
            <w:tcW w:w="1072" w:type="pct"/>
            <w:vAlign w:val="center"/>
          </w:tcPr>
          <w:p w14:paraId="448F7A0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49"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LoRa网络ID（仅LoRa版本）</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936"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78E48A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72" w:type="pct"/>
            <w:vAlign w:val="center"/>
          </w:tcPr>
          <w:p w14:paraId="27AE4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0-83</w:t>
            </w:r>
          </w:p>
        </w:tc>
        <w:tc>
          <w:tcPr>
            <w:tcW w:w="1949" w:type="pct"/>
            <w:vAlign w:val="center"/>
          </w:tcPr>
          <w:p w14:paraId="101E5801">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LoRa网络通道（仅LoRa版本）</w:t>
            </w:r>
          </w:p>
        </w:tc>
      </w:tr>
      <w:tr w14:paraId="5777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766D62F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195603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72" w:type="pct"/>
            <w:vAlign w:val="center"/>
          </w:tcPr>
          <w:p w14:paraId="150088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6A17B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波特率（仅RS485版本）</w:t>
            </w:r>
          </w:p>
        </w:tc>
      </w:tr>
      <w:tr w14:paraId="6855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B7FA7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AAD0F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72" w:type="pct"/>
            <w:vAlign w:val="center"/>
          </w:tcPr>
          <w:p w14:paraId="74D1898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575B22A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w:t>
            </w:r>
          </w:p>
        </w:tc>
      </w:tr>
      <w:tr w14:paraId="0E9E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5579755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p>
        </w:tc>
        <w:tc>
          <w:tcPr>
            <w:tcW w:w="1040" w:type="pct"/>
            <w:vAlign w:val="center"/>
          </w:tcPr>
          <w:p w14:paraId="2F2E06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72" w:type="pct"/>
            <w:vAlign w:val="center"/>
          </w:tcPr>
          <w:p w14:paraId="2778338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949" w:type="pct"/>
            <w:vAlign w:val="center"/>
          </w:tcPr>
          <w:p w14:paraId="65F3182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Address</w:t>
            </w:r>
          </w:p>
        </w:tc>
        <w:tc>
          <w:tcPr>
            <w:tcW w:w="1040" w:type="pct"/>
            <w:vAlign w:val="center"/>
          </w:tcPr>
          <w:p w14:paraId="1983E89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49F753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3ED9BE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RS485：1-99</w:t>
            </w:r>
          </w:p>
        </w:tc>
        <w:tc>
          <w:tcPr>
            <w:tcW w:w="1949" w:type="pct"/>
            <w:vAlign w:val="center"/>
          </w:tcPr>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可修改设备地址</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bookmarkStart w:id="131" w:name="_Toc6386"/>
            <w:r>
              <w:rPr>
                <w:rFonts w:hint="eastAsia" w:cs="Times New Roman"/>
                <w:color w:val="auto"/>
                <w:sz w:val="18"/>
                <w:szCs w:val="18"/>
                <w:vertAlign w:val="baseline"/>
                <w:lang w:val="en-US" w:eastAsia="zh-CN"/>
              </w:rPr>
              <w:t>Net</w:t>
            </w:r>
          </w:p>
        </w:tc>
        <w:tc>
          <w:tcPr>
            <w:tcW w:w="1040" w:type="pct"/>
            <w:vAlign w:val="center"/>
          </w:tcPr>
          <w:p w14:paraId="660B92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5F0CF4B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49"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可修改设备LoRa网络ID </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40" w:type="pct"/>
            <w:vAlign w:val="center"/>
          </w:tcPr>
          <w:p w14:paraId="27E8E0E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072" w:type="pct"/>
            <w:vAlign w:val="center"/>
          </w:tcPr>
          <w:p w14:paraId="269FE5C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0-83</w:t>
            </w:r>
          </w:p>
        </w:tc>
        <w:tc>
          <w:tcPr>
            <w:tcW w:w="1949"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可修改设备LoRa网络通道</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40" w:type="pct"/>
            <w:vAlign w:val="center"/>
          </w:tcPr>
          <w:p w14:paraId="0778F6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10C634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4800  </w:t>
            </w:r>
          </w:p>
          <w:p w14:paraId="4B4DE0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9600  </w:t>
            </w:r>
          </w:p>
          <w:p w14:paraId="19538A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19200  </w:t>
            </w:r>
          </w:p>
          <w:p w14:paraId="33A7740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38400</w:t>
            </w:r>
          </w:p>
          <w:p w14:paraId="292232B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57600  </w:t>
            </w:r>
          </w:p>
          <w:p w14:paraId="343348C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115200</w:t>
            </w:r>
          </w:p>
        </w:tc>
        <w:tc>
          <w:tcPr>
            <w:tcW w:w="1949"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可修改设备RS485通信波特率</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40" w:type="pct"/>
            <w:vAlign w:val="center"/>
          </w:tcPr>
          <w:p w14:paraId="779E67E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 Calib</w:t>
            </w:r>
          </w:p>
        </w:tc>
        <w:tc>
          <w:tcPr>
            <w:tcW w:w="1072" w:type="pct"/>
            <w:vAlign w:val="center"/>
          </w:tcPr>
          <w:p w14:paraId="297C384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零点校零</w:t>
            </w:r>
          </w:p>
        </w:tc>
      </w:tr>
    </w:tbl>
    <w:p w14:paraId="6AB7143C">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2" w:name="_Toc27762"/>
      <w:r>
        <w:rPr>
          <w:rFonts w:hint="eastAsia"/>
          <w:lang w:val="en-US" w:eastAsia="zh-CN"/>
        </w:rPr>
        <w:t>设备</w:t>
      </w:r>
      <w:r>
        <w:rPr>
          <w:rFonts w:hint="eastAsia" w:ascii="Times New Roman" w:hAnsi="Times New Roman" w:eastAsia="宋体"/>
          <w:lang w:val="en-US" w:eastAsia="zh-CN"/>
        </w:rPr>
        <w:t>上云</w:t>
      </w:r>
      <w:bookmarkEnd w:id="131"/>
      <w:bookmarkEnd w:id="132"/>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lang w:val="en-US" w:eastAsia="zh-CN"/>
        </w:rPr>
      </w:pPr>
      <w:r>
        <w:rPr>
          <w:rFonts w:hint="eastAsia" w:ascii="宋体" w:hAnsi="宋体" w:eastAsia="宋体" w:cs="宋体"/>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添加设备</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53"/>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54"/>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55"/>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6"/>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A35C4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7"/>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FD5C2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8"/>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E0A849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3" w:name="_Toc5002"/>
      <w:r>
        <w:rPr>
          <w:rFonts w:hint="eastAsia"/>
          <w:lang w:val="en-US" w:eastAsia="zh-CN"/>
        </w:rPr>
        <w:t>设备本地蓝牙配置</w:t>
      </w:r>
      <w:bookmarkEnd w:id="133"/>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9"/>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60"/>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61"/>
                    <a:stretch>
                      <a:fillRect/>
                    </a:stretch>
                  </pic:blipFill>
                  <pic:spPr>
                    <a:xfrm>
                      <a:off x="0" y="0"/>
                      <a:ext cx="1285240" cy="1367790"/>
                    </a:xfrm>
                    <a:prstGeom prst="rect">
                      <a:avLst/>
                    </a:prstGeom>
                    <a:noFill/>
                    <a:ln w="9525">
                      <a:noFill/>
                    </a:ln>
                  </pic:spPr>
                </pic:pic>
              </a:graphicData>
            </a:graphic>
          </wp:inline>
        </w:drawing>
      </w:r>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4" w:name="_Toc22903"/>
      <w:r>
        <w:rPr>
          <w:rFonts w:hint="eastAsia" w:ascii="Times New Roman" w:hAnsi="Times New Roman" w:eastAsia="宋体"/>
          <w:lang w:val="en-US" w:eastAsia="zh-CN"/>
        </w:rPr>
        <w:t>使用注意事项</w:t>
      </w:r>
      <w:bookmarkEnd w:id="134"/>
    </w:p>
    <w:p w14:paraId="6A5F7AB4">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50秒</w:t>
      </w:r>
      <w:r>
        <w:t>，上报周期默认为</w:t>
      </w:r>
      <w:r>
        <w:rPr>
          <w:rFonts w:hint="eastAsia"/>
          <w:lang w:val="en-US" w:eastAsia="zh-CN"/>
        </w:rPr>
        <w:t>5分钟</w:t>
      </w:r>
      <w:r>
        <w:t>，均可调）</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5" w:name="_Toc387"/>
      <w:r>
        <w:rPr>
          <w:rFonts w:hint="eastAsia" w:ascii="Times New Roman" w:hAnsi="Times New Roman" w:eastAsia="宋体"/>
          <w:b/>
          <w:sz w:val="21"/>
          <w:lang w:val="en-US" w:eastAsia="zh-CN"/>
        </w:rPr>
        <w:t>故障分析及排除</w:t>
      </w:r>
      <w:bookmarkEnd w:id="135"/>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氟利昂变送器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3EBDBE60">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6" w:name="_Toc22932"/>
      <w:r>
        <w:rPr>
          <w:rFonts w:hint="eastAsia" w:ascii="Times New Roman" w:hAnsi="Times New Roman" w:eastAsia="宋体"/>
          <w:b/>
          <w:sz w:val="21"/>
          <w:lang w:val="en-US" w:eastAsia="zh-CN"/>
        </w:rPr>
        <w:t>质保及售后服务</w:t>
      </w:r>
      <w:bookmarkEnd w:id="136"/>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627733B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7" w:name="_Toc22776"/>
      <w:bookmarkStart w:id="138" w:name="_Toc2118"/>
      <w:bookmarkStart w:id="139" w:name="_Toc3977"/>
      <w:bookmarkStart w:id="140" w:name="_Toc26548"/>
      <w:r>
        <w:rPr>
          <w:rFonts w:hint="eastAsia"/>
          <w:b/>
          <w:sz w:val="21"/>
          <w:lang w:val="en-US" w:eastAsia="zh-CN"/>
        </w:rPr>
        <w:t>附录 数据通信</w:t>
      </w:r>
      <w:bookmarkEnd w:id="137"/>
      <w:bookmarkEnd w:id="138"/>
      <w:bookmarkEnd w:id="139"/>
      <w:bookmarkEnd w:id="140"/>
    </w:p>
    <w:p w14:paraId="498277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0A323A8F">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p>
    <w:p w14:paraId="40EFC7ED">
      <w:pPr>
        <w:keepNext w:val="0"/>
        <w:keepLines w:val="0"/>
        <w:pageBreakBefore w:val="0"/>
        <w:widowControl w:val="0"/>
        <w:numPr>
          <w:ilvl w:val="0"/>
          <w:numId w:val="10"/>
        </w:numPr>
        <w:kinsoku/>
        <w:wordWrap/>
        <w:overflowPunct/>
        <w:topLinePunct w:val="0"/>
        <w:autoSpaceDE/>
        <w:autoSpaceDN/>
        <w:bidi w:val="0"/>
        <w:adjustRightInd/>
        <w:snapToGrid/>
        <w:ind w:left="0" w:leftChars="0" w:firstLine="0" w:firstLineChars="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寄存器地址</w:t>
      </w:r>
    </w:p>
    <w:p w14:paraId="26466EA1">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left"/>
        <w:textAlignment w:val="auto"/>
        <w:rPr>
          <w:rFonts w:hint="eastAsia" w:ascii="宋体" w:hAnsi="宋体" w:cs="宋体"/>
          <w:b/>
          <w:bCs/>
          <w:sz w:val="21"/>
          <w:szCs w:val="21"/>
          <w:lang w:val="en-US" w:eastAsia="zh-CN"/>
        </w:rPr>
      </w:pP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7"/>
        <w:gridCol w:w="2384"/>
        <w:gridCol w:w="1708"/>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高16位</w:t>
            </w:r>
          </w:p>
        </w:tc>
        <w:tc>
          <w:tcPr>
            <w:tcW w:w="1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33FA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23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7</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3E2D1F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低16位</w:t>
            </w:r>
          </w:p>
        </w:tc>
        <w:tc>
          <w:tcPr>
            <w:tcW w:w="1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98B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bl>
    <w:p w14:paraId="71571B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6"/>
        <w:gridCol w:w="1974"/>
        <w:gridCol w:w="2249"/>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9" w:type="dxa"/>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974"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249"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01FE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10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w:t>
            </w:r>
            <w:r>
              <w:rPr>
                <w:rFonts w:hint="eastAsia" w:ascii="宋体" w:hAnsi="宋体" w:cs="宋体"/>
                <w:i w:val="0"/>
                <w:iCs w:val="0"/>
                <w:color w:val="000000"/>
                <w:kern w:val="0"/>
                <w:sz w:val="18"/>
                <w:szCs w:val="18"/>
                <w:u w:val="none"/>
                <w:lang w:val="en-US" w:eastAsia="zh-CN" w:bidi="ar"/>
              </w:rPr>
              <w:t>5</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06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传感器校零使能</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6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设置为1时打开传感器校零使能</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高阈值高位</w:t>
            </w:r>
          </w:p>
        </w:tc>
        <w:tc>
          <w:tcPr>
            <w:tcW w:w="2249" w:type="dxa"/>
            <w:vMerge w:val="restart"/>
            <w:tcBorders>
              <w:top w:val="single" w:color="000000" w:sz="4" w:space="0"/>
              <w:left w:val="single" w:color="000000" w:sz="4" w:space="0"/>
              <w:right w:val="single" w:color="000000" w:sz="4" w:space="0"/>
            </w:tcBorders>
            <w:shd w:val="clear" w:color="auto" w:fill="auto"/>
            <w:vAlign w:val="center"/>
          </w:tcPr>
          <w:p w14:paraId="4F7968D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13CB2D2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ppm，默认9000</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高阈值低位</w:t>
            </w:r>
          </w:p>
        </w:tc>
        <w:tc>
          <w:tcPr>
            <w:tcW w:w="2249" w:type="dxa"/>
            <w:vMerge w:val="continue"/>
            <w:tcBorders>
              <w:left w:val="single" w:color="000000" w:sz="4" w:space="0"/>
              <w:bottom w:val="single" w:color="000000" w:sz="4" w:space="0"/>
              <w:right w:val="single" w:color="000000" w:sz="4" w:space="0"/>
            </w:tcBorders>
            <w:shd w:val="clear" w:color="auto" w:fill="auto"/>
            <w:vAlign w:val="center"/>
          </w:tcPr>
          <w:p w14:paraId="75350E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低阈值高位</w:t>
            </w:r>
          </w:p>
        </w:tc>
        <w:tc>
          <w:tcPr>
            <w:tcW w:w="2249" w:type="dxa"/>
            <w:vMerge w:val="restart"/>
            <w:tcBorders>
              <w:top w:val="single" w:color="000000" w:sz="4" w:space="0"/>
              <w:left w:val="single" w:color="000000" w:sz="4" w:space="0"/>
              <w:right w:val="single" w:color="000000" w:sz="4" w:space="0"/>
            </w:tcBorders>
            <w:shd w:val="clear" w:color="auto" w:fill="auto"/>
            <w:vAlign w:val="center"/>
          </w:tcPr>
          <w:p w14:paraId="1FE048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699C2E4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ppm，默认1500</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低阈值低位</w:t>
            </w:r>
          </w:p>
        </w:tc>
        <w:tc>
          <w:tcPr>
            <w:tcW w:w="2249" w:type="dxa"/>
            <w:vMerge w:val="continue"/>
            <w:tcBorders>
              <w:left w:val="single" w:color="000000" w:sz="4" w:space="0"/>
              <w:bottom w:val="single" w:color="000000" w:sz="4" w:space="0"/>
              <w:right w:val="single" w:color="000000" w:sz="4" w:space="0"/>
            </w:tcBorders>
            <w:shd w:val="clear" w:color="auto" w:fill="auto"/>
            <w:vAlign w:val="center"/>
          </w:tcPr>
          <w:p w14:paraId="0C1DD8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高限值高位</w:t>
            </w:r>
          </w:p>
        </w:tc>
        <w:tc>
          <w:tcPr>
            <w:tcW w:w="2249" w:type="dxa"/>
            <w:vMerge w:val="restart"/>
            <w:tcBorders>
              <w:top w:val="single" w:color="000000" w:sz="4" w:space="0"/>
              <w:left w:val="single" w:color="000000" w:sz="4" w:space="0"/>
              <w:right w:val="single" w:color="000000" w:sz="4" w:space="0"/>
            </w:tcBorders>
            <w:shd w:val="clear" w:color="auto" w:fill="auto"/>
            <w:noWrap/>
            <w:vAlign w:val="center"/>
          </w:tcPr>
          <w:p w14:paraId="2585991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2C17FF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ppm，默认144000</w:t>
            </w:r>
          </w:p>
        </w:tc>
      </w:tr>
      <w:tr w14:paraId="687B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EA1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0x0015</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A77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高限值低位</w:t>
            </w:r>
          </w:p>
        </w:tc>
        <w:tc>
          <w:tcPr>
            <w:tcW w:w="2249" w:type="dxa"/>
            <w:vMerge w:val="continue"/>
            <w:tcBorders>
              <w:left w:val="single" w:color="000000" w:sz="4" w:space="0"/>
              <w:bottom w:val="single" w:color="000000" w:sz="4" w:space="0"/>
              <w:right w:val="single" w:color="000000" w:sz="4" w:space="0"/>
            </w:tcBorders>
            <w:shd w:val="clear" w:color="auto" w:fill="auto"/>
            <w:noWrap/>
            <w:vAlign w:val="center"/>
          </w:tcPr>
          <w:p w14:paraId="2D76DD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DA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BF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0x0016</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D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低限值高位</w:t>
            </w:r>
          </w:p>
        </w:tc>
        <w:tc>
          <w:tcPr>
            <w:tcW w:w="2249" w:type="dxa"/>
            <w:vMerge w:val="restart"/>
            <w:tcBorders>
              <w:top w:val="single" w:color="000000" w:sz="4" w:space="0"/>
              <w:left w:val="single" w:color="000000" w:sz="4" w:space="0"/>
              <w:right w:val="single" w:color="000000" w:sz="4" w:space="0"/>
            </w:tcBorders>
            <w:shd w:val="clear" w:color="auto" w:fill="auto"/>
            <w:noWrap/>
            <w:vAlign w:val="center"/>
          </w:tcPr>
          <w:p w14:paraId="536E70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48A0FB3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w:t>
            </w:r>
          </w:p>
        </w:tc>
      </w:tr>
      <w:tr w14:paraId="4F7D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EAE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0x0017</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DB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低限值低位</w:t>
            </w:r>
          </w:p>
        </w:tc>
        <w:tc>
          <w:tcPr>
            <w:tcW w:w="2249" w:type="dxa"/>
            <w:vMerge w:val="continue"/>
            <w:tcBorders>
              <w:left w:val="single" w:color="000000" w:sz="4" w:space="0"/>
              <w:bottom w:val="single" w:color="000000" w:sz="4" w:space="0"/>
              <w:right w:val="single" w:color="000000" w:sz="4" w:space="0"/>
            </w:tcBorders>
            <w:shd w:val="clear" w:color="auto" w:fill="auto"/>
            <w:noWrap/>
            <w:vAlign w:val="center"/>
          </w:tcPr>
          <w:p w14:paraId="33C32FB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C1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398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0x0018</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6C9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单位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FE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ppm</w:t>
            </w:r>
          </w:p>
          <w:p w14:paraId="1B08A63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1：%LFL</w:t>
            </w:r>
          </w:p>
          <w:p w14:paraId="7E28F9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cs="宋体"/>
                <w:i w:val="0"/>
                <w:iCs w:val="0"/>
                <w:color w:val="000000"/>
                <w:kern w:val="0"/>
                <w:sz w:val="18"/>
                <w:szCs w:val="18"/>
                <w:u w:val="none"/>
                <w:lang w:val="en-US" w:eastAsia="zh-CN" w:bidi="ar"/>
              </w:rPr>
              <w:t>%LFL</w:t>
            </w:r>
          </w:p>
          <w:p w14:paraId="0985ECF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7BA7E75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67A18787">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75D670B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90 0F</w:t>
      </w:r>
    </w:p>
    <w:p w14:paraId="0721BF1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4 00 00 00 64 FA 6F</w:t>
      </w:r>
    </w:p>
    <w:p w14:paraId="7E2957C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00 00 00 64</w:t>
      </w:r>
      <w:r>
        <w:rPr>
          <w:rFonts w:hint="eastAsia" w:ascii="Times New Roman" w:hAnsi="Times New Roman" w:eastAsia="宋体"/>
          <w:b w:val="0"/>
          <w:bCs w:val="0"/>
          <w:lang w:val="en-US" w:eastAsia="zh-CN"/>
        </w:rPr>
        <w:t>，即</w:t>
      </w:r>
      <w:r>
        <w:rPr>
          <w:rFonts w:hint="eastAsia"/>
          <w:b w:val="0"/>
          <w:bCs w:val="0"/>
          <w:lang w:val="en-US" w:eastAsia="zh-CN"/>
        </w:rPr>
        <w:t>100ppm</w:t>
      </w:r>
    </w:p>
    <w:p w14:paraId="5A0204C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44A4F6D4">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氟利昂</w:t>
      </w:r>
      <w:r>
        <w:rPr>
          <w:rFonts w:hint="eastAsia" w:ascii="Times New Roman" w:hAnsi="Times New Roman" w:eastAsia="宋体"/>
          <w:b w:val="0"/>
          <w:bCs w:val="0"/>
          <w:lang w:val="en-US" w:eastAsia="zh-CN"/>
        </w:rPr>
        <w:t>高阈值为</w:t>
      </w:r>
      <w:r>
        <w:rPr>
          <w:rFonts w:hint="eastAsia"/>
          <w:b w:val="0"/>
          <w:bCs w:val="0"/>
          <w:lang w:val="en-US" w:eastAsia="zh-CN"/>
        </w:rPr>
        <w:t>2000ppm</w:t>
      </w:r>
      <w:r>
        <w:rPr>
          <w:rFonts w:hint="eastAsia" w:ascii="Times New Roman" w:hAnsi="Times New Roman" w:eastAsia="宋体"/>
          <w:b w:val="0"/>
          <w:bCs w:val="0"/>
          <w:lang w:val="en-US" w:eastAsia="zh-CN"/>
        </w:rPr>
        <w:t>、</w:t>
      </w:r>
      <w:r>
        <w:rPr>
          <w:rFonts w:hint="eastAsia"/>
          <w:b w:val="0"/>
          <w:bCs w:val="0"/>
          <w:lang w:val="en-US" w:eastAsia="zh-CN"/>
        </w:rPr>
        <w:t>氟利昂</w:t>
      </w:r>
      <w:r>
        <w:rPr>
          <w:rFonts w:hint="eastAsia" w:ascii="Times New Roman" w:hAnsi="Times New Roman" w:eastAsia="宋体"/>
          <w:b w:val="0"/>
          <w:bCs w:val="0"/>
          <w:lang w:val="en-US" w:eastAsia="zh-CN"/>
        </w:rPr>
        <w:t>低阈值10</w:t>
      </w:r>
      <w:r>
        <w:rPr>
          <w:rFonts w:hint="eastAsia"/>
          <w:b w:val="0"/>
          <w:bCs w:val="0"/>
          <w:lang w:val="en-US" w:eastAsia="zh-CN"/>
        </w:rPr>
        <w:t>00ppm</w:t>
      </w:r>
      <w:r>
        <w:rPr>
          <w:rFonts w:hint="eastAsia" w:ascii="Times New Roman" w:hAnsi="Times New Roman" w:eastAsia="宋体"/>
          <w:b w:val="0"/>
          <w:bCs w:val="0"/>
          <w:lang w:val="en-US" w:eastAsia="zh-CN"/>
        </w:rPr>
        <w:t>：</w:t>
      </w:r>
    </w:p>
    <w:p w14:paraId="7E095AA4">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4</w:t>
      </w:r>
      <w:r>
        <w:rPr>
          <w:rFonts w:hint="default" w:ascii="Times New Roman" w:hAnsi="Times New Roman" w:eastAsia="宋体"/>
          <w:b w:val="0"/>
          <w:bCs w:val="0"/>
          <w:lang w:val="en-US" w:eastAsia="zh-CN"/>
        </w:rPr>
        <w:t xml:space="preserve"> 0</w:t>
      </w:r>
      <w:r>
        <w:rPr>
          <w:rFonts w:hint="eastAsia"/>
          <w:b w:val="0"/>
          <w:bCs w:val="0"/>
          <w:lang w:val="en-US" w:eastAsia="zh-CN"/>
        </w:rPr>
        <w:t>8 00 00 07 D0 00 00 03 E8 B7 5E</w:t>
      </w:r>
    </w:p>
    <w:p w14:paraId="5777ADF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04 C0 0F</w:t>
      </w:r>
    </w:p>
    <w:p w14:paraId="280F224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3868D14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69A4C55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3EFF3D7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4E393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氟利昂浓度高于高阈值报警</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830"/>
        <w:gridCol w:w="830"/>
        <w:gridCol w:w="830"/>
        <w:gridCol w:w="830"/>
        <w:gridCol w:w="830"/>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3"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833"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33"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833"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833"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833"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833"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33"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833"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氟利昂浓度高于高阈值报警</w:t>
            </w:r>
          </w:p>
        </w:tc>
        <w:tc>
          <w:tcPr>
            <w:tcW w:w="833"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氟利昂浓度高于低阈值报警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807"/>
        <w:gridCol w:w="974"/>
        <w:gridCol w:w="807"/>
        <w:gridCol w:w="808"/>
        <w:gridCol w:w="77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0" w:type="auto"/>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74" w:type="dxa"/>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807" w:type="dxa"/>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08" w:type="dxa"/>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76" w:type="dxa"/>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0" w:type="auto"/>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74" w:type="dxa"/>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807" w:type="dxa"/>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08" w:type="dxa"/>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氟利昂浓度高于上限</w:t>
            </w:r>
          </w:p>
        </w:tc>
        <w:tc>
          <w:tcPr>
            <w:tcW w:w="776" w:type="dxa"/>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氟利昂浓度低于下限</w:t>
            </w:r>
          </w:p>
        </w:tc>
      </w:tr>
    </w:tbl>
    <w:p w14:paraId="6AB385DC">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41" w:name="_Toc9617"/>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41"/>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T234</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0169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76F736B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313F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T234</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氟利昂</w:t>
      </w:r>
      <w:r>
        <w:rPr>
          <w:rFonts w:hint="eastAsia" w:ascii="Times New Roman" w:hAnsi="Times New Roman" w:eastAsia="宋体"/>
          <w:lang w:val="en-US" w:eastAsia="zh-CN"/>
        </w:rPr>
        <w:t>变送器，电池供电</w:t>
      </w:r>
    </w:p>
    <w:p w14:paraId="6A872CCD">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62"/>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 w:name="Segoe UI">
    <w:altName w:val="Arial"/>
    <w:panose1 w:val="020B0502040204020203"/>
    <w:charset w:val="00"/>
    <w:family w:val="auto"/>
    <w:pitch w:val="default"/>
    <w:sig w:usb0="00000000" w:usb1="00000000" w:usb2="00000009" w:usb3="00000000" w:csb0="200001F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第四章 安装与使用</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1">
    <w:nsid w:val="A4131A7E"/>
    <w:multiLevelType w:val="multilevel"/>
    <w:tmpl w:val="A4131A7E"/>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3">
    <w:nsid w:val="C1355C66"/>
    <w:multiLevelType w:val="singleLevel"/>
    <w:tmpl w:val="C1355C66"/>
    <w:lvl w:ilvl="0" w:tentative="0">
      <w:start w:val="1"/>
      <w:numFmt w:val="decimal"/>
      <w:suff w:val="nothing"/>
      <w:lvlText w:val="（%1）"/>
      <w:lvlJc w:val="left"/>
    </w:lvl>
  </w:abstractNum>
  <w:abstractNum w:abstractNumId="4">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5">
    <w:nsid w:val="0DA1AF35"/>
    <w:multiLevelType w:val="singleLevel"/>
    <w:tmpl w:val="0DA1AF35"/>
    <w:lvl w:ilvl="0" w:tentative="0">
      <w:start w:val="1"/>
      <w:numFmt w:val="decimal"/>
      <w:lvlText w:val="%1."/>
      <w:lvlJc w:val="left"/>
      <w:pPr>
        <w:tabs>
          <w:tab w:val="left" w:pos="312"/>
        </w:tabs>
      </w:pPr>
    </w:lvl>
  </w:abstractNum>
  <w:abstractNum w:abstractNumId="6">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7">
    <w:nsid w:val="529F1534"/>
    <w:multiLevelType w:val="singleLevel"/>
    <w:tmpl w:val="529F1534"/>
    <w:lvl w:ilvl="0" w:tentative="0">
      <w:start w:val="1"/>
      <w:numFmt w:val="decimal"/>
      <w:lvlText w:val="%1."/>
      <w:lvlJc w:val="left"/>
      <w:pPr>
        <w:tabs>
          <w:tab w:val="left" w:pos="312"/>
        </w:tabs>
      </w:pPr>
    </w:lvl>
  </w:abstractNum>
  <w:abstractNum w:abstractNumId="8">
    <w:nsid w:val="65A96007"/>
    <w:multiLevelType w:val="singleLevel"/>
    <w:tmpl w:val="65A96007"/>
    <w:lvl w:ilvl="0" w:tentative="0">
      <w:start w:val="1"/>
      <w:numFmt w:val="decimal"/>
      <w:lvlText w:val="%1."/>
      <w:lvlJc w:val="left"/>
      <w:pPr>
        <w:tabs>
          <w:tab w:val="left" w:pos="312"/>
        </w:tabs>
      </w:pPr>
    </w:lvl>
  </w:abstractNum>
  <w:abstractNum w:abstractNumId="9">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
  </w:num>
  <w:num w:numId="2">
    <w:abstractNumId w:val="9"/>
  </w:num>
  <w:num w:numId="3">
    <w:abstractNumId w:val="0"/>
  </w:num>
  <w:num w:numId="4">
    <w:abstractNumId w:val="6"/>
  </w:num>
  <w:num w:numId="5">
    <w:abstractNumId w:val="2"/>
  </w:num>
  <w:num w:numId="6">
    <w:abstractNumId w:val="4"/>
  </w:num>
  <w:num w:numId="7">
    <w:abstractNumId w:val="3"/>
  </w:num>
  <w:num w:numId="8">
    <w:abstractNumId w:val="7"/>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16D1607"/>
    <w:rsid w:val="03870C59"/>
    <w:rsid w:val="0530678A"/>
    <w:rsid w:val="055458EA"/>
    <w:rsid w:val="05812B41"/>
    <w:rsid w:val="063C2A27"/>
    <w:rsid w:val="069E423A"/>
    <w:rsid w:val="072F4F4B"/>
    <w:rsid w:val="0774295E"/>
    <w:rsid w:val="07C91C21"/>
    <w:rsid w:val="07CC2F6B"/>
    <w:rsid w:val="08355A9E"/>
    <w:rsid w:val="08437A19"/>
    <w:rsid w:val="0B093D05"/>
    <w:rsid w:val="0B734C98"/>
    <w:rsid w:val="0D9F77C7"/>
    <w:rsid w:val="0E0F1632"/>
    <w:rsid w:val="0E121D8E"/>
    <w:rsid w:val="0E52151F"/>
    <w:rsid w:val="0E751CC7"/>
    <w:rsid w:val="0E8E7BE4"/>
    <w:rsid w:val="0EBD5EF0"/>
    <w:rsid w:val="0F1650AF"/>
    <w:rsid w:val="0F430E61"/>
    <w:rsid w:val="0F7B1F2F"/>
    <w:rsid w:val="101A7019"/>
    <w:rsid w:val="10463305"/>
    <w:rsid w:val="10822D43"/>
    <w:rsid w:val="1164635D"/>
    <w:rsid w:val="1174359A"/>
    <w:rsid w:val="11EA5DC8"/>
    <w:rsid w:val="12BC340B"/>
    <w:rsid w:val="13F422A1"/>
    <w:rsid w:val="14A86F74"/>
    <w:rsid w:val="158A3C94"/>
    <w:rsid w:val="1B99078D"/>
    <w:rsid w:val="1C912B6A"/>
    <w:rsid w:val="1E285DF8"/>
    <w:rsid w:val="1FB91598"/>
    <w:rsid w:val="1FD426AE"/>
    <w:rsid w:val="203B5995"/>
    <w:rsid w:val="205D447F"/>
    <w:rsid w:val="22032E8D"/>
    <w:rsid w:val="222B1769"/>
    <w:rsid w:val="22833733"/>
    <w:rsid w:val="22B468A5"/>
    <w:rsid w:val="230C7639"/>
    <w:rsid w:val="238A3FE8"/>
    <w:rsid w:val="24634697"/>
    <w:rsid w:val="25380D99"/>
    <w:rsid w:val="25753EE9"/>
    <w:rsid w:val="28F72F97"/>
    <w:rsid w:val="293E0BC6"/>
    <w:rsid w:val="29476D78"/>
    <w:rsid w:val="299E171E"/>
    <w:rsid w:val="2A126149"/>
    <w:rsid w:val="2A6C2BED"/>
    <w:rsid w:val="2C33629D"/>
    <w:rsid w:val="2C842721"/>
    <w:rsid w:val="2CC71C05"/>
    <w:rsid w:val="2EC13E2B"/>
    <w:rsid w:val="2FE21A1D"/>
    <w:rsid w:val="306D74E0"/>
    <w:rsid w:val="30B82700"/>
    <w:rsid w:val="30BD34B2"/>
    <w:rsid w:val="311D7312"/>
    <w:rsid w:val="31482F15"/>
    <w:rsid w:val="31483202"/>
    <w:rsid w:val="31891F04"/>
    <w:rsid w:val="31C64BB0"/>
    <w:rsid w:val="31CF6BC1"/>
    <w:rsid w:val="32140715"/>
    <w:rsid w:val="324441C8"/>
    <w:rsid w:val="32681DDE"/>
    <w:rsid w:val="32AC70A5"/>
    <w:rsid w:val="32BC7672"/>
    <w:rsid w:val="34142C4F"/>
    <w:rsid w:val="34874519"/>
    <w:rsid w:val="35B53EAD"/>
    <w:rsid w:val="35C47CDD"/>
    <w:rsid w:val="36406F2D"/>
    <w:rsid w:val="3654168E"/>
    <w:rsid w:val="377C2217"/>
    <w:rsid w:val="38EC55C9"/>
    <w:rsid w:val="39111E53"/>
    <w:rsid w:val="39C3314D"/>
    <w:rsid w:val="39EB140E"/>
    <w:rsid w:val="3B7F4E52"/>
    <w:rsid w:val="3BFB607E"/>
    <w:rsid w:val="3CDE7541"/>
    <w:rsid w:val="3D7F382F"/>
    <w:rsid w:val="3E251EC1"/>
    <w:rsid w:val="3FCC4001"/>
    <w:rsid w:val="406D219C"/>
    <w:rsid w:val="41322966"/>
    <w:rsid w:val="43257C09"/>
    <w:rsid w:val="4337057B"/>
    <w:rsid w:val="433E7700"/>
    <w:rsid w:val="447E0A08"/>
    <w:rsid w:val="46C202E8"/>
    <w:rsid w:val="47A244DA"/>
    <w:rsid w:val="47CD163B"/>
    <w:rsid w:val="482D0EBE"/>
    <w:rsid w:val="48320D42"/>
    <w:rsid w:val="48567CB8"/>
    <w:rsid w:val="48A779B6"/>
    <w:rsid w:val="48FD47D9"/>
    <w:rsid w:val="49060563"/>
    <w:rsid w:val="49660E46"/>
    <w:rsid w:val="499626E6"/>
    <w:rsid w:val="49FD2D4B"/>
    <w:rsid w:val="4AD94B37"/>
    <w:rsid w:val="4B570322"/>
    <w:rsid w:val="4C7A0C69"/>
    <w:rsid w:val="4FD60865"/>
    <w:rsid w:val="50735531"/>
    <w:rsid w:val="51C5066C"/>
    <w:rsid w:val="531059C7"/>
    <w:rsid w:val="53E27924"/>
    <w:rsid w:val="53F71FB7"/>
    <w:rsid w:val="54DC7CC1"/>
    <w:rsid w:val="56531AA7"/>
    <w:rsid w:val="568B06F7"/>
    <w:rsid w:val="5899314F"/>
    <w:rsid w:val="5922193C"/>
    <w:rsid w:val="59AA5F42"/>
    <w:rsid w:val="5A124F02"/>
    <w:rsid w:val="5A422B6B"/>
    <w:rsid w:val="5A757046"/>
    <w:rsid w:val="5ABC5689"/>
    <w:rsid w:val="5D343EC0"/>
    <w:rsid w:val="5E304F6C"/>
    <w:rsid w:val="5E641A3D"/>
    <w:rsid w:val="5E8B2479"/>
    <w:rsid w:val="5F555D83"/>
    <w:rsid w:val="5FD3241A"/>
    <w:rsid w:val="5FDA100E"/>
    <w:rsid w:val="60175568"/>
    <w:rsid w:val="63A177AC"/>
    <w:rsid w:val="63EF138D"/>
    <w:rsid w:val="653914E4"/>
    <w:rsid w:val="66CE34C0"/>
    <w:rsid w:val="66DB3E74"/>
    <w:rsid w:val="671F29FF"/>
    <w:rsid w:val="68AB4C28"/>
    <w:rsid w:val="68C31058"/>
    <w:rsid w:val="68C42938"/>
    <w:rsid w:val="69B96DDD"/>
    <w:rsid w:val="6A2E60C6"/>
    <w:rsid w:val="6AEA599F"/>
    <w:rsid w:val="6B2F5EBA"/>
    <w:rsid w:val="6BDE2736"/>
    <w:rsid w:val="6C6F4534"/>
    <w:rsid w:val="6E664271"/>
    <w:rsid w:val="6F386377"/>
    <w:rsid w:val="6F9475B3"/>
    <w:rsid w:val="70BF4D86"/>
    <w:rsid w:val="724C19BF"/>
    <w:rsid w:val="725D3684"/>
    <w:rsid w:val="72BD7A32"/>
    <w:rsid w:val="734B7749"/>
    <w:rsid w:val="75696AA7"/>
    <w:rsid w:val="7614272B"/>
    <w:rsid w:val="76CC46E8"/>
    <w:rsid w:val="7A102B3D"/>
    <w:rsid w:val="7A5C270A"/>
    <w:rsid w:val="7D63792D"/>
    <w:rsid w:val="7DAA27B5"/>
    <w:rsid w:val="7FF64583"/>
    <w:rsid w:val="7FFF852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5" Type="http://schemas.openxmlformats.org/officeDocument/2006/relationships/fontTable" Target="fontTable.xml"/><Relationship Id="rId64" Type="http://schemas.openxmlformats.org/officeDocument/2006/relationships/numbering" Target="numbering.xml"/><Relationship Id="rId63" Type="http://schemas.openxmlformats.org/officeDocument/2006/relationships/customXml" Target="../customXml/item1.xml"/><Relationship Id="rId62" Type="http://schemas.openxmlformats.org/officeDocument/2006/relationships/image" Target="media/image22.jpeg"/><Relationship Id="rId61" Type="http://schemas.openxmlformats.org/officeDocument/2006/relationships/image" Target="media/image21.png"/><Relationship Id="rId60" Type="http://schemas.openxmlformats.org/officeDocument/2006/relationships/image" Target="media/image20.png"/><Relationship Id="rId6" Type="http://schemas.openxmlformats.org/officeDocument/2006/relationships/footer" Target="footer2.xml"/><Relationship Id="rId59" Type="http://schemas.openxmlformats.org/officeDocument/2006/relationships/image" Target="media/image19.png"/><Relationship Id="rId58" Type="http://schemas.openxmlformats.org/officeDocument/2006/relationships/image" Target="media/image18.png"/><Relationship Id="rId57" Type="http://schemas.openxmlformats.org/officeDocument/2006/relationships/image" Target="media/image17.png"/><Relationship Id="rId56" Type="http://schemas.openxmlformats.org/officeDocument/2006/relationships/image" Target="media/image16.pn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jpe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pn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2127</Words>
  <Characters>2676</Characters>
  <Lines>0</Lines>
  <Paragraphs>0</Paragraphs>
  <TotalTime>5</TotalTime>
  <ScaleCrop>false</ScaleCrop>
  <LinksUpToDate>false</LinksUpToDate>
  <CharactersWithSpaces>2810</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2024-01-15T15:10:00Z</dcterms:created>
  <dc:creator>JGX</dc:creator>
  <cp:lastModifiedBy>辰</cp:lastModifiedBy>
  <dcterms:modified xsi:type="dcterms:W3CDTF">2026-02-11T11:27:05Z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8124B2BE39FFE2AA09F78B6972495589_43</vt:lpwstr>
  </property>
  <property fmtid="{D5CDD505-2E9C-101B-9397-08002B2CF9AE}" pid="4" name="KSOTemplateDocerSaveRecord">
    <vt:lpwstr>eyJoZGlkIjoiOTYwNGZiYWFmZDk0YWM2ZWVhN2M0YTFkOTA1ODdjMWEiLCJ1c2VySWQiOiI3MTU2MTUxODEifQ==</vt:lpwstr>
  </property>
</Properties>
</file>