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32607"/>
      <w:r>
        <w:rPr>
          <w:rFonts w:hint="eastAsia" w:ascii="黑体" w:hAnsi="黑体" w:eastAsia="黑体" w:cs="黑体"/>
          <w:b w:val="0"/>
          <w:bCs/>
          <w:spacing w:val="-7"/>
          <w:sz w:val="32"/>
          <w:szCs w:val="18"/>
          <w:lang w:val="en-US" w:eastAsia="zh-CN"/>
        </w:rPr>
        <w:t>分体式氨气变送器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WE-T233使用说明书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966470</wp:posOffset>
            </wp:positionH>
            <wp:positionV relativeFrom="paragraph">
              <wp:posOffset>29845</wp:posOffset>
            </wp:positionV>
            <wp:extent cx="1125855" cy="1656080"/>
            <wp:effectExtent l="0" t="0" r="17145" b="1270"/>
            <wp:wrapNone/>
            <wp:docPr id="17" name="图片 17" descr="C:/Users/shuttle/Desktop/产品图片/T233-NB.pngT233-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233-NB.pngT233-NB"/>
                    <pic:cNvPicPr>
                      <a:picLocks noChangeAspect="1"/>
                    </pic:cNvPicPr>
                  </pic:nvPicPr>
                  <pic:blipFill>
                    <a:blip r:embed="rId42"/>
                    <a:srcRect l="58" r="58"/>
                    <a:stretch>
                      <a:fillRect/>
                    </a:stretch>
                  </pic:blipFill>
                  <pic:spPr>
                    <a:xfrm>
                      <a:off x="0" y="0"/>
                      <a:ext cx="1125855" cy="1656080"/>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T233</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T233</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71F7FD41">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5581"/>
      <w:bookmarkStart w:id="2" w:name="_Toc12294"/>
      <w:bookmarkStart w:id="3" w:name="_Toc26903"/>
      <w:bookmarkStart w:id="4" w:name="_Toc7003"/>
      <w:bookmarkStart w:id="5" w:name="_Toc15930"/>
      <w:bookmarkStart w:id="6" w:name="_Toc29143"/>
      <w:bookmarkStart w:id="7" w:name="_Toc2326"/>
      <w:bookmarkStart w:id="8" w:name="_Toc21437"/>
      <w:bookmarkStart w:id="9" w:name="_Toc7640"/>
      <w:bookmarkStart w:id="10" w:name="_Toc2551"/>
      <w:bookmarkStart w:id="11" w:name="_Toc30858"/>
      <w:bookmarkStart w:id="12" w:name="_Toc12915"/>
      <w:bookmarkStart w:id="13" w:name="_Toc41996141"/>
      <w:bookmarkStart w:id="14" w:name="_Toc7823"/>
      <w:bookmarkStart w:id="15" w:name="_Toc11653"/>
      <w:bookmarkStart w:id="16" w:name="_Toc9366"/>
      <w:bookmarkStart w:id="17" w:name="_Toc17598"/>
      <w:bookmarkStart w:id="18" w:name="_Toc18067"/>
      <w:bookmarkStart w:id="19" w:name="_Toc29297"/>
      <w:bookmarkStart w:id="20" w:name="_Toc5895"/>
      <w:bookmarkStart w:id="21" w:name="_Toc28135"/>
      <w:bookmarkStart w:id="22" w:name="_Toc20964"/>
      <w:bookmarkStart w:id="23" w:name="_Toc30832"/>
      <w:bookmarkStart w:id="24" w:name="_Toc22939"/>
      <w:bookmarkStart w:id="25" w:name="_Toc4151"/>
      <w:bookmarkStart w:id="26" w:name="_Toc3490"/>
      <w:bookmarkStart w:id="27" w:name="_Toc29042"/>
      <w:bookmarkStart w:id="28" w:name="_Toc16992"/>
      <w:bookmarkStart w:id="29" w:name="_Toc10628"/>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3414"/>
      <w:bookmarkStart w:id="31" w:name="_Toc17441"/>
      <w:bookmarkStart w:id="32" w:name="_Toc2799"/>
      <w:bookmarkStart w:id="33" w:name="_Toc1089"/>
      <w:bookmarkStart w:id="34" w:name="_Toc9267"/>
      <w:bookmarkStart w:id="35" w:name="_Toc18036"/>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30766"/>
      <w:bookmarkStart w:id="37" w:name="_Toc13604"/>
      <w:bookmarkStart w:id="38" w:name="_Toc15493"/>
      <w:bookmarkStart w:id="39" w:name="_Toc116"/>
      <w:bookmarkStart w:id="40" w:name="_Toc27291"/>
      <w:bookmarkStart w:id="41" w:name="_Toc7143"/>
      <w:bookmarkStart w:id="42" w:name="_Toc14195"/>
      <w:bookmarkStart w:id="43" w:name="_Toc12883"/>
      <w:bookmarkStart w:id="44" w:name="_Toc30640"/>
      <w:bookmarkStart w:id="45" w:name="_Toc41996142"/>
      <w:bookmarkStart w:id="46" w:name="_Toc27473"/>
      <w:bookmarkStart w:id="47" w:name="_Toc29781"/>
      <w:bookmarkStart w:id="48" w:name="_Toc15706"/>
      <w:bookmarkStart w:id="49" w:name="_Toc25155"/>
      <w:bookmarkStart w:id="50" w:name="_Toc25903"/>
      <w:bookmarkStart w:id="51" w:name="_Toc8275"/>
      <w:bookmarkStart w:id="52" w:name="_Toc20946"/>
      <w:bookmarkStart w:id="53" w:name="_Toc6050"/>
      <w:bookmarkStart w:id="54" w:name="_Toc27948"/>
      <w:bookmarkStart w:id="55" w:name="_Toc3613"/>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253"/>
      <w:bookmarkStart w:id="57" w:name="_Toc9947"/>
      <w:bookmarkStart w:id="58" w:name="_Toc21225"/>
      <w:bookmarkStart w:id="59" w:name="_Toc29408"/>
      <w:bookmarkStart w:id="60" w:name="_Toc32096"/>
      <w:bookmarkStart w:id="61" w:name="_Toc18559"/>
      <w:bookmarkStart w:id="62" w:name="_Toc6181"/>
      <w:bookmarkStart w:id="63" w:name="_Toc8121"/>
      <w:bookmarkStart w:id="64" w:name="_Toc19503"/>
      <w:bookmarkStart w:id="65" w:name="_Toc24285"/>
      <w:bookmarkStart w:id="66" w:name="_Toc41996143"/>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0737"/>
      <w:bookmarkStart w:id="68" w:name="_Toc17019"/>
      <w:bookmarkStart w:id="69" w:name="_Toc5685"/>
      <w:bookmarkStart w:id="70" w:name="_Toc2697"/>
      <w:bookmarkStart w:id="71" w:name="_Toc13126"/>
      <w:bookmarkStart w:id="72" w:name="_Toc23281"/>
      <w:bookmarkStart w:id="73" w:name="_Toc8382"/>
      <w:bookmarkStart w:id="74" w:name="_Toc24374"/>
      <w:bookmarkStart w:id="75" w:name="_Toc10100"/>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T233</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8565"/>
      <w:bookmarkStart w:id="77" w:name="_Toc20359"/>
      <w:bookmarkStart w:id="78" w:name="_Toc7067"/>
      <w:bookmarkStart w:id="79" w:name="_Toc15579"/>
      <w:bookmarkStart w:id="80" w:name="_Toc24243"/>
      <w:bookmarkStart w:id="81" w:name="_Toc27219"/>
      <w:bookmarkStart w:id="82" w:name="_Toc14420"/>
      <w:bookmarkStart w:id="83" w:name="_Toc17544"/>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氨气变送器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A06A6AD">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16875"/>
          <w:bookmarkStart w:id="85" w:name="_Toc24272"/>
          <w:bookmarkStart w:id="86" w:name="_Toc17902"/>
          <w:bookmarkStart w:id="87" w:name="_Toc8158"/>
          <w:bookmarkStart w:id="88" w:name="_Toc23717"/>
          <w:bookmarkStart w:id="89" w:name="_Toc26604"/>
          <w:bookmarkStart w:id="90" w:name="_Toc21763_WPSOffice_Level1"/>
          <w:bookmarkStart w:id="91" w:name="_Toc19467_WPSOffice_Level1"/>
          <w:bookmarkStart w:id="92" w:name="_Toc29456_WPSOffice_Level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45C02CD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_Toc32607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分体式氨气变送器</w:t>
          </w:r>
          <w:r>
            <w:tab/>
          </w:r>
          <w:r>
            <w:fldChar w:fldCharType="begin"/>
          </w:r>
          <w:r>
            <w:instrText xml:space="preserve"> PAGEREF _Toc32607 \h </w:instrText>
          </w:r>
          <w:r>
            <w:fldChar w:fldCharType="separate"/>
          </w:r>
          <w:r>
            <w:t>1</w:t>
          </w:r>
          <w:r>
            <w:fldChar w:fldCharType="end"/>
          </w:r>
          <w:r>
            <w:rPr>
              <w:rFonts w:ascii="Times New Roman" w:hAnsi="Times New Roman" w:eastAsia="宋体" w:cs="Times New Roman"/>
            </w:rPr>
            <w:fldChar w:fldCharType="end"/>
          </w:r>
        </w:p>
        <w:p w14:paraId="0858858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_Toc9366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_Toc9366 \h </w:instrText>
          </w:r>
          <w:r>
            <w:fldChar w:fldCharType="separate"/>
          </w:r>
          <w:r>
            <w:t>II</w:t>
          </w:r>
          <w:r>
            <w:fldChar w:fldCharType="end"/>
          </w:r>
          <w:r>
            <w:rPr>
              <w:rFonts w:ascii="Times New Roman" w:hAnsi="Times New Roman" w:eastAsia="宋体" w:cs="Times New Roman"/>
            </w:rPr>
            <w:fldChar w:fldCharType="end"/>
          </w:r>
        </w:p>
        <w:p w14:paraId="6D98268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_Toc15706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_Toc15706 \h </w:instrText>
          </w:r>
          <w:r>
            <w:fldChar w:fldCharType="separate"/>
          </w:r>
          <w:r>
            <w:t>II</w:t>
          </w:r>
          <w:r>
            <w:fldChar w:fldCharType="end"/>
          </w:r>
          <w:r>
            <w:rPr>
              <w:rFonts w:ascii="Times New Roman" w:hAnsi="Times New Roman" w:eastAsia="宋体" w:cs="Times New Roman"/>
            </w:rPr>
            <w:fldChar w:fldCharType="end"/>
          </w:r>
        </w:p>
        <w:p w14:paraId="59C7654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_Toc13126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_Toc13126 \h </w:instrText>
          </w:r>
          <w:r>
            <w:fldChar w:fldCharType="separate"/>
          </w:r>
          <w:r>
            <w:t>II</w:t>
          </w:r>
          <w:r>
            <w:fldChar w:fldCharType="end"/>
          </w:r>
          <w:r>
            <w:rPr>
              <w:rFonts w:ascii="Times New Roman" w:hAnsi="Times New Roman" w:eastAsia="宋体" w:cs="Times New Roman"/>
            </w:rPr>
            <w:fldChar w:fldCharType="end"/>
          </w:r>
        </w:p>
        <w:p w14:paraId="32AE9D9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_Toc17544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_Toc17544 \h </w:instrText>
          </w:r>
          <w:r>
            <w:fldChar w:fldCharType="separate"/>
          </w:r>
          <w:r>
            <w:t>III</w:t>
          </w:r>
          <w:r>
            <w:fldChar w:fldCharType="end"/>
          </w:r>
          <w:r>
            <w:rPr>
              <w:rFonts w:ascii="Times New Roman" w:hAnsi="Times New Roman" w:eastAsia="宋体" w:cs="Times New Roman"/>
            </w:rPr>
            <w:fldChar w:fldCharType="end"/>
          </w:r>
        </w:p>
        <w:p w14:paraId="474934D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_Toc23717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_Toc23717 \h </w:instrText>
          </w:r>
          <w:r>
            <w:fldChar w:fldCharType="separate"/>
          </w:r>
          <w:r>
            <w:t>IV</w:t>
          </w:r>
          <w:r>
            <w:fldChar w:fldCharType="end"/>
          </w:r>
          <w:r>
            <w:rPr>
              <w:rFonts w:ascii="Times New Roman" w:hAnsi="Times New Roman" w:eastAsia="宋体" w:cs="Times New Roman"/>
            </w:rPr>
            <w:fldChar w:fldCharType="end"/>
          </w:r>
        </w:p>
        <w:p w14:paraId="580D84F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_Toc469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_Toc469 \h </w:instrText>
          </w:r>
          <w:r>
            <w:fldChar w:fldCharType="separate"/>
          </w:r>
          <w:r>
            <w:t>1</w:t>
          </w:r>
          <w:r>
            <w:fldChar w:fldCharType="end"/>
          </w:r>
          <w:r>
            <w:rPr>
              <w:rFonts w:ascii="Times New Roman" w:hAnsi="Times New Roman" w:eastAsia="宋体" w:cs="Times New Roman"/>
            </w:rPr>
            <w:fldChar w:fldCharType="end"/>
          </w:r>
        </w:p>
        <w:p w14:paraId="1C3ED3B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_Toc5661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_Toc5661 \h </w:instrText>
          </w:r>
          <w:r>
            <w:fldChar w:fldCharType="separate"/>
          </w:r>
          <w:r>
            <w:t>1</w:t>
          </w:r>
          <w:r>
            <w:fldChar w:fldCharType="end"/>
          </w:r>
          <w:r>
            <w:rPr>
              <w:rFonts w:ascii="Times New Roman" w:hAnsi="Times New Roman" w:eastAsia="宋体" w:cs="Times New Roman"/>
            </w:rPr>
            <w:fldChar w:fldCharType="end"/>
          </w:r>
        </w:p>
        <w:p w14:paraId="7FE0F60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_Toc10350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_Toc10350 \h </w:instrText>
          </w:r>
          <w:r>
            <w:fldChar w:fldCharType="separate"/>
          </w:r>
          <w:r>
            <w:t>1</w:t>
          </w:r>
          <w:r>
            <w:fldChar w:fldCharType="end"/>
          </w:r>
          <w:r>
            <w:rPr>
              <w:rFonts w:ascii="Times New Roman" w:hAnsi="Times New Roman" w:eastAsia="宋体" w:cs="Times New Roman"/>
            </w:rPr>
            <w:fldChar w:fldCharType="end"/>
          </w:r>
        </w:p>
        <w:p w14:paraId="55C396B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_Toc13291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_Toc13291 \h </w:instrText>
          </w:r>
          <w:r>
            <w:fldChar w:fldCharType="separate"/>
          </w:r>
          <w:r>
            <w:t>2</w:t>
          </w:r>
          <w:r>
            <w:fldChar w:fldCharType="end"/>
          </w:r>
          <w:r>
            <w:rPr>
              <w:rFonts w:ascii="Times New Roman" w:hAnsi="Times New Roman" w:eastAsia="宋体" w:cs="Times New Roman"/>
            </w:rPr>
            <w:fldChar w:fldCharType="end"/>
          </w:r>
        </w:p>
        <w:p w14:paraId="76A0B74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_Toc31320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_Toc31320 \h </w:instrText>
          </w:r>
          <w:r>
            <w:fldChar w:fldCharType="separate"/>
          </w:r>
          <w:r>
            <w:t>3</w:t>
          </w:r>
          <w:r>
            <w:fldChar w:fldCharType="end"/>
          </w:r>
          <w:r>
            <w:rPr>
              <w:rFonts w:ascii="Times New Roman" w:hAnsi="Times New Roman" w:eastAsia="宋体" w:cs="Times New Roman"/>
            </w:rPr>
            <w:fldChar w:fldCharType="end"/>
          </w:r>
        </w:p>
        <w:p w14:paraId="6E3005F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_Toc7122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_Toc7122 \h </w:instrText>
          </w:r>
          <w:r>
            <w:fldChar w:fldCharType="separate"/>
          </w:r>
          <w:r>
            <w:t>6</w:t>
          </w:r>
          <w:r>
            <w:fldChar w:fldCharType="end"/>
          </w:r>
          <w:r>
            <w:rPr>
              <w:rFonts w:ascii="Times New Roman" w:hAnsi="Times New Roman" w:eastAsia="宋体" w:cs="Times New Roman"/>
            </w:rPr>
            <w:fldChar w:fldCharType="end"/>
          </w:r>
        </w:p>
        <w:p w14:paraId="5149F9E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_Toc2771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_Toc2771 \h </w:instrText>
          </w:r>
          <w:r>
            <w:fldChar w:fldCharType="separate"/>
          </w:r>
          <w:r>
            <w:t>6</w:t>
          </w:r>
          <w:r>
            <w:fldChar w:fldCharType="end"/>
          </w:r>
          <w:r>
            <w:rPr>
              <w:rFonts w:ascii="Times New Roman" w:hAnsi="Times New Roman" w:eastAsia="宋体" w:cs="Times New Roman"/>
            </w:rPr>
            <w:fldChar w:fldCharType="end"/>
          </w:r>
        </w:p>
        <w:p w14:paraId="6C8AFFF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_Toc28278 </w:instrText>
          </w:r>
          <w:r>
            <w:rPr>
              <w:rFonts w:ascii="Times New Roman" w:hAnsi="Times New Roman" w:eastAsia="宋体" w:cs="Times New Roman"/>
            </w:rPr>
            <w:fldChar w:fldCharType="separate"/>
          </w:r>
          <w:r>
            <w:rPr>
              <w:rFonts w:hint="default"/>
              <w:bCs/>
              <w:lang w:val="en-US" w:eastAsia="zh-CN"/>
            </w:rPr>
            <w:t xml:space="preserve">3.2. </w:t>
          </w:r>
          <w:r>
            <w:rPr>
              <w:rFonts w:hint="eastAsia"/>
              <w:bCs/>
              <w:lang w:val="en-US" w:eastAsia="zh-CN"/>
            </w:rPr>
            <w:t>连接线缆</w:t>
          </w:r>
          <w:r>
            <w:tab/>
          </w:r>
          <w:r>
            <w:fldChar w:fldCharType="begin"/>
          </w:r>
          <w:r>
            <w:instrText xml:space="preserve"> PAGEREF _Toc28278 \h </w:instrText>
          </w:r>
          <w:r>
            <w:fldChar w:fldCharType="separate"/>
          </w:r>
          <w:r>
            <w:t>6</w:t>
          </w:r>
          <w:r>
            <w:fldChar w:fldCharType="end"/>
          </w:r>
          <w:r>
            <w:rPr>
              <w:rFonts w:ascii="Times New Roman" w:hAnsi="Times New Roman" w:eastAsia="宋体" w:cs="Times New Roman"/>
            </w:rPr>
            <w:fldChar w:fldCharType="end"/>
          </w:r>
        </w:p>
        <w:p w14:paraId="7524A2B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_Toc28874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_Toc28874 \h </w:instrText>
          </w:r>
          <w:r>
            <w:fldChar w:fldCharType="separate"/>
          </w:r>
          <w:r>
            <w:t>6</w:t>
          </w:r>
          <w:r>
            <w:fldChar w:fldCharType="end"/>
          </w:r>
          <w:r>
            <w:rPr>
              <w:rFonts w:ascii="Times New Roman" w:hAnsi="Times New Roman" w:eastAsia="宋体" w:cs="Times New Roman"/>
            </w:rPr>
            <w:fldChar w:fldCharType="end"/>
          </w:r>
        </w:p>
        <w:p w14:paraId="2ECF398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_Toc25731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_Toc25731 \h </w:instrText>
          </w:r>
          <w:r>
            <w:fldChar w:fldCharType="separate"/>
          </w:r>
          <w:r>
            <w:t>7</w:t>
          </w:r>
          <w:r>
            <w:fldChar w:fldCharType="end"/>
          </w:r>
          <w:r>
            <w:rPr>
              <w:rFonts w:ascii="Times New Roman" w:hAnsi="Times New Roman" w:eastAsia="宋体" w:cs="Times New Roman"/>
            </w:rPr>
            <w:fldChar w:fldCharType="end"/>
          </w:r>
        </w:p>
        <w:p w14:paraId="2DBDFBA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_Toc20965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_Toc20965 \h </w:instrText>
          </w:r>
          <w:r>
            <w:fldChar w:fldCharType="separate"/>
          </w:r>
          <w:r>
            <w:t>7</w:t>
          </w:r>
          <w:r>
            <w:fldChar w:fldCharType="end"/>
          </w:r>
          <w:r>
            <w:rPr>
              <w:rFonts w:ascii="Times New Roman" w:hAnsi="Times New Roman" w:eastAsia="宋体" w:cs="Times New Roman"/>
            </w:rPr>
            <w:fldChar w:fldCharType="end"/>
          </w:r>
        </w:p>
        <w:p w14:paraId="532CB7C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_Toc17929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安装注意</w:t>
          </w:r>
          <w:r>
            <w:tab/>
          </w:r>
          <w:r>
            <w:fldChar w:fldCharType="begin"/>
          </w:r>
          <w:r>
            <w:instrText xml:space="preserve"> PAGEREF _Toc17929 \h </w:instrText>
          </w:r>
          <w:r>
            <w:fldChar w:fldCharType="separate"/>
          </w:r>
          <w:r>
            <w:t>7</w:t>
          </w:r>
          <w:r>
            <w:fldChar w:fldCharType="end"/>
          </w:r>
          <w:r>
            <w:rPr>
              <w:rFonts w:ascii="Times New Roman" w:hAnsi="Times New Roman" w:eastAsia="宋体" w:cs="Times New Roman"/>
            </w:rPr>
            <w:fldChar w:fldCharType="end"/>
          </w:r>
        </w:p>
        <w:p w14:paraId="04973D8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_Toc13041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_Toc13041 \h </w:instrText>
          </w:r>
          <w:r>
            <w:fldChar w:fldCharType="separate"/>
          </w:r>
          <w:r>
            <w:t>8</w:t>
          </w:r>
          <w:r>
            <w:fldChar w:fldCharType="end"/>
          </w:r>
          <w:r>
            <w:rPr>
              <w:rFonts w:ascii="Times New Roman" w:hAnsi="Times New Roman" w:eastAsia="宋体" w:cs="Times New Roman"/>
            </w:rPr>
            <w:fldChar w:fldCharType="end"/>
          </w:r>
        </w:p>
        <w:p w14:paraId="00024B6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_Toc21938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_Toc21938 \h </w:instrText>
          </w:r>
          <w:r>
            <w:fldChar w:fldCharType="separate"/>
          </w:r>
          <w:r>
            <w:t>10</w:t>
          </w:r>
          <w:r>
            <w:fldChar w:fldCharType="end"/>
          </w:r>
          <w:r>
            <w:rPr>
              <w:rFonts w:ascii="Times New Roman" w:hAnsi="Times New Roman" w:eastAsia="宋体" w:cs="Times New Roman"/>
            </w:rPr>
            <w:fldChar w:fldCharType="end"/>
          </w:r>
        </w:p>
        <w:p w14:paraId="13BC228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_Toc8375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_Toc8375 \h </w:instrText>
          </w:r>
          <w:r>
            <w:fldChar w:fldCharType="separate"/>
          </w:r>
          <w:r>
            <w:t>10</w:t>
          </w:r>
          <w:r>
            <w:fldChar w:fldCharType="end"/>
          </w:r>
          <w:r>
            <w:rPr>
              <w:rFonts w:ascii="Times New Roman" w:hAnsi="Times New Roman" w:eastAsia="宋体" w:cs="Times New Roman"/>
            </w:rPr>
            <w:fldChar w:fldCharType="end"/>
          </w:r>
        </w:p>
        <w:p w14:paraId="3472A45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_Toc5825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_Toc5825 \h </w:instrText>
          </w:r>
          <w:r>
            <w:fldChar w:fldCharType="separate"/>
          </w:r>
          <w:r>
            <w:t>13</w:t>
          </w:r>
          <w:r>
            <w:fldChar w:fldCharType="end"/>
          </w:r>
          <w:r>
            <w:rPr>
              <w:rFonts w:ascii="Times New Roman" w:hAnsi="Times New Roman" w:eastAsia="宋体" w:cs="Times New Roman"/>
            </w:rPr>
            <w:fldChar w:fldCharType="end"/>
          </w:r>
        </w:p>
        <w:p w14:paraId="60387921">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_Toc7301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_Toc7301 \h </w:instrText>
          </w:r>
          <w:r>
            <w:fldChar w:fldCharType="separate"/>
          </w:r>
          <w:r>
            <w:t>16</w:t>
          </w:r>
          <w:r>
            <w:fldChar w:fldCharType="end"/>
          </w:r>
          <w:r>
            <w:rPr>
              <w:rFonts w:ascii="Times New Roman" w:hAnsi="Times New Roman" w:eastAsia="宋体" w:cs="Times New Roman"/>
            </w:rPr>
            <w:fldChar w:fldCharType="end"/>
          </w:r>
        </w:p>
        <w:p w14:paraId="5AA0B32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_Toc19456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_Toc19456 \h </w:instrText>
          </w:r>
          <w:r>
            <w:fldChar w:fldCharType="separate"/>
          </w:r>
          <w:r>
            <w:t>19</w:t>
          </w:r>
          <w:r>
            <w:fldChar w:fldCharType="end"/>
          </w:r>
          <w:r>
            <w:rPr>
              <w:rFonts w:ascii="Times New Roman" w:hAnsi="Times New Roman" w:eastAsia="宋体" w:cs="Times New Roman"/>
            </w:rPr>
            <w:fldChar w:fldCharType="end"/>
          </w:r>
        </w:p>
        <w:p w14:paraId="21B756C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_Toc20974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_Toc20974 \h </w:instrText>
          </w:r>
          <w:r>
            <w:fldChar w:fldCharType="separate"/>
          </w:r>
          <w:r>
            <w:t>21</w:t>
          </w:r>
          <w:r>
            <w:fldChar w:fldCharType="end"/>
          </w:r>
          <w:r>
            <w:rPr>
              <w:rFonts w:ascii="Times New Roman" w:hAnsi="Times New Roman" w:eastAsia="宋体" w:cs="Times New Roman"/>
            </w:rPr>
            <w:fldChar w:fldCharType="end"/>
          </w:r>
        </w:p>
        <w:p w14:paraId="1BC9D14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_Toc16120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_Toc16120 \h </w:instrText>
          </w:r>
          <w:r>
            <w:fldChar w:fldCharType="separate"/>
          </w:r>
          <w:r>
            <w:t>22</w:t>
          </w:r>
          <w:r>
            <w:fldChar w:fldCharType="end"/>
          </w:r>
          <w:r>
            <w:rPr>
              <w:rFonts w:ascii="Times New Roman" w:hAnsi="Times New Roman" w:eastAsia="宋体" w:cs="Times New Roman"/>
            </w:rPr>
            <w:fldChar w:fldCharType="end"/>
          </w:r>
        </w:p>
        <w:p w14:paraId="48673EF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_Toc1929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_Toc1929 \h </w:instrText>
          </w:r>
          <w:r>
            <w:fldChar w:fldCharType="separate"/>
          </w:r>
          <w:r>
            <w:t>24</w:t>
          </w:r>
          <w:r>
            <w:fldChar w:fldCharType="end"/>
          </w:r>
          <w:r>
            <w:rPr>
              <w:rFonts w:ascii="Times New Roman" w:hAnsi="Times New Roman" w:eastAsia="宋体" w:cs="Times New Roman"/>
            </w:rPr>
            <w:fldChar w:fldCharType="end"/>
          </w:r>
        </w:p>
        <w:p w14:paraId="688BC44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_Toc6711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_Toc6711 \h </w:instrText>
          </w:r>
          <w:r>
            <w:fldChar w:fldCharType="separate"/>
          </w:r>
          <w:r>
            <w:t>25</w:t>
          </w:r>
          <w:r>
            <w:fldChar w:fldCharType="end"/>
          </w:r>
          <w:r>
            <w:rPr>
              <w:rFonts w:ascii="Times New Roman" w:hAnsi="Times New Roman" w:eastAsia="宋体" w:cs="Times New Roman"/>
            </w:rPr>
            <w:fldChar w:fldCharType="end"/>
          </w:r>
        </w:p>
        <w:p w14:paraId="4794129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_Toc2749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_Toc2749 \h </w:instrText>
          </w:r>
          <w:r>
            <w:fldChar w:fldCharType="separate"/>
          </w:r>
          <w:r>
            <w:t>32</w:t>
          </w:r>
          <w:r>
            <w:fldChar w:fldCharType="end"/>
          </w:r>
          <w:r>
            <w:rPr>
              <w:rFonts w:ascii="Times New Roman" w:hAnsi="Times New Roman" w:eastAsia="宋体" w:cs="Times New Roman"/>
            </w:rPr>
            <w:fldChar w:fldCharType="end"/>
          </w:r>
        </w:p>
        <w:p w14:paraId="301A79E0">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469"/>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5661"/>
      <w:r>
        <w:rPr>
          <w:rFonts w:hint="eastAsia" w:ascii="Times New Roman" w:hAnsi="Times New Roman" w:eastAsia="宋体"/>
          <w:sz w:val="20"/>
          <w:lang w:val="en-US" w:eastAsia="zh-CN"/>
        </w:rPr>
        <w:t>产品简介</w:t>
      </w:r>
      <w:bookmarkEnd w:id="94"/>
    </w:p>
    <w:p w14:paraId="67CB6140">
      <w:pPr>
        <w:keepNext w:val="0"/>
        <w:keepLines w:val="0"/>
        <w:widowControl/>
        <w:suppressLineNumbers w:val="0"/>
        <w:jc w:val="left"/>
        <w:rPr>
          <w:rFonts w:hint="eastAsia" w:ascii="宋体" w:hAnsi="宋体" w:eastAsia="宋体" w:cs="宋体"/>
          <w:lang w:val="en-US" w:eastAsia="zh-CN"/>
        </w:rPr>
      </w:pPr>
      <w:bookmarkStart w:id="95" w:name="_Toc25397_WPSOffice_Level2"/>
      <w:bookmarkStart w:id="96" w:name="_Toc20995_WPSOffice_Level2"/>
      <w:bookmarkStart w:id="97" w:name="_Toc26576_WPSOffice_Level2"/>
      <w:bookmarkStart w:id="98" w:name="_Toc897_WPSOffice_Level2"/>
      <w:bookmarkStart w:id="99" w:name="_Toc31468_WPSOffice_Level2"/>
      <w:bookmarkStart w:id="100" w:name="_Toc24924_WPSOffice_Level2"/>
      <w:r>
        <w:rPr>
          <w:rFonts w:hint="default" w:ascii="宋体" w:hAnsi="宋体" w:eastAsia="宋体" w:cs="宋体"/>
          <w:lang w:val="en-US" w:eastAsia="zh-CN"/>
        </w:rPr>
        <w:t>WE-</w:t>
      </w:r>
      <w:r>
        <w:rPr>
          <w:rFonts w:hint="eastAsia" w:ascii="宋体" w:hAnsi="宋体" w:cs="宋体"/>
          <w:lang w:val="en-US" w:eastAsia="zh-CN"/>
        </w:rPr>
        <w:t>T233</w:t>
      </w:r>
      <w:r>
        <w:rPr>
          <w:rFonts w:hint="eastAsia" w:ascii="宋体" w:hAnsi="宋体" w:eastAsia="宋体" w:cs="宋体"/>
          <w:lang w:val="en-US" w:eastAsia="zh-CN"/>
        </w:rPr>
        <w:t>型</w:t>
      </w:r>
      <w:r>
        <w:rPr>
          <w:rFonts w:hint="eastAsia" w:ascii="宋体" w:hAnsi="宋体" w:cs="宋体"/>
          <w:lang w:val="en-US" w:eastAsia="zh-CN"/>
        </w:rPr>
        <w:t>氨气气体浓度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氨气气体浓度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氨气气体浓度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变送器本体与探头分体式设计，可用于居民小区垃圾站，垃圾焚烧站，公共厕所，下水道等民生环境以及工业环境的空气质量监测。能够满足大多数工业应用对在线</w:t>
      </w:r>
      <w:r>
        <w:rPr>
          <w:rFonts w:hint="eastAsia" w:ascii="宋体" w:hAnsi="宋体" w:cs="宋体"/>
          <w:lang w:val="en-US" w:eastAsia="zh-CN"/>
        </w:rPr>
        <w:t>氨气气体浓度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1" w:name="_Toc10350"/>
      <w:r>
        <w:rPr>
          <w:rFonts w:hint="eastAsia" w:ascii="Times New Roman" w:hAnsi="Times New Roman" w:eastAsia="宋体"/>
          <w:sz w:val="20"/>
          <w:lang w:val="en-US" w:eastAsia="zh-CN"/>
        </w:rPr>
        <w:t>测量原理</w:t>
      </w:r>
      <w:bookmarkEnd w:id="101"/>
    </w:p>
    <w:p w14:paraId="0D709F77">
      <w:pPr>
        <w:keepNext w:val="0"/>
        <w:keepLines w:val="0"/>
        <w:widowControl/>
        <w:suppressLineNumbers w:val="0"/>
        <w:jc w:val="left"/>
        <w:rPr>
          <w:rFonts w:hint="eastAsia"/>
          <w:lang w:val="en-US" w:eastAsia="zh-CN"/>
        </w:rPr>
      </w:pPr>
      <w:r>
        <w:rPr>
          <w:rFonts w:hint="eastAsia"/>
          <w:lang w:val="en-US" w:eastAsia="zh-CN"/>
        </w:rPr>
        <w:t>氨气变送器采</w:t>
      </w:r>
      <w:r>
        <w:rPr>
          <w:rFonts w:hint="eastAsia"/>
          <w:highlight w:val="none"/>
          <w:lang w:val="en-US" w:eastAsia="zh-CN"/>
        </w:rPr>
        <w:t>用氨气传感器，其原理是基于定电位电解法。工作时通过恒定的电极</w:t>
      </w:r>
      <w:r>
        <w:rPr>
          <w:rFonts w:hint="eastAsia"/>
          <w:lang w:val="en-US" w:eastAsia="zh-CN"/>
        </w:rPr>
        <w:t>电位，引导氨气在工作电极表面发生催化氧化反应，将气体浓度信息线性地转换为微电流信号，再经电路处理成为可用的标准信号输出。</w:t>
      </w:r>
    </w:p>
    <w:p w14:paraId="2510CCF2">
      <w:pPr>
        <w:keepNext w:val="0"/>
        <w:keepLines w:val="0"/>
        <w:widowControl/>
        <w:suppressLineNumbers w:val="0"/>
        <w:jc w:val="left"/>
        <w:rPr>
          <w:rFonts w:hint="eastAsia"/>
          <w:lang w:val="en-US" w:eastAsia="zh-CN"/>
        </w:rPr>
      </w:pPr>
      <w:r>
        <w:rPr>
          <w:rFonts w:hint="eastAsia"/>
          <w:lang w:val="en-US" w:eastAsia="zh-CN"/>
        </w:rPr>
        <w:t>氨气变送器一般由一个氨气传感器和一个变送器组成，通过电缆连接。当氨气传感器采集到现场的氨气气体浓度值后通过电缆传输至变送器。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2" w:name="_Toc13291"/>
      <w:r>
        <w:rPr>
          <w:rFonts w:hint="eastAsia"/>
          <w:b/>
          <w:bCs/>
          <w:lang w:val="en-US" w:eastAsia="zh-CN"/>
        </w:rPr>
        <w:t>产品特点</w:t>
      </w:r>
      <w:bookmarkEnd w:id="102"/>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21411_WPSOffice_Level2"/>
      <w:bookmarkStart w:id="104"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指示灯与按键，可以现场实时查看氨气气体浓度值、报警信息、电量提示等。</w:t>
      </w:r>
    </w:p>
    <w:p w14:paraId="6CBAD12F">
      <w:pPr>
        <w:bidi w:val="0"/>
        <w:rPr>
          <w:rFonts w:hint="eastAsia" w:ascii="Times New Roman" w:hAnsi="Times New Roman" w:eastAsia="宋体"/>
          <w:lang w:val="en-US" w:eastAsia="zh-CN"/>
        </w:rPr>
      </w:pPr>
    </w:p>
    <w:p w14:paraId="2B295E6F">
      <w:pPr>
        <w:bidi w:val="0"/>
        <w:rPr>
          <w:rFonts w:hint="eastAsia" w:ascii="Times New Roman" w:hAnsi="Times New Roman" w:eastAsia="宋体"/>
          <w:lang w:val="en-US" w:eastAsia="zh-CN"/>
        </w:rPr>
      </w:pPr>
    </w:p>
    <w:p w14:paraId="314F20C1">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31320"/>
      <w:r>
        <w:rPr>
          <w:rFonts w:hint="eastAsia" w:ascii="Times New Roman" w:hAnsi="Times New Roman" w:eastAsia="宋体"/>
          <w:b/>
          <w:sz w:val="21"/>
          <w:lang w:val="en-US" w:eastAsia="zh-CN"/>
        </w:rPr>
        <w:t>技术参数</w:t>
      </w:r>
      <w:bookmarkEnd w:id="105"/>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607"/>
        <w:gridCol w:w="1047"/>
        <w:gridCol w:w="989"/>
        <w:gridCol w:w="607"/>
        <w:gridCol w:w="613"/>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59"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40"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氨</w:t>
            </w:r>
            <w:r>
              <w:rPr>
                <w:rFonts w:hint="eastAsia"/>
                <w:highlight w:val="none"/>
                <w:lang w:val="en-US" w:eastAsia="zh-CN"/>
              </w:rPr>
              <w:t>气</w:t>
            </w:r>
            <w:r>
              <w:rPr>
                <w:rFonts w:hint="default" w:asciiTheme="minorAscii" w:hAnsiTheme="minorAscii"/>
                <w:highlight w:val="none"/>
                <w:lang w:val="en-US" w:eastAsia="zh-CN"/>
              </w:rPr>
              <w:t>NH₃</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59"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40"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0~99.99ppm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259"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40"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±0.1ppm 或者±10%测试值取大者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740"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0.01ppm</w:t>
            </w:r>
          </w:p>
        </w:tc>
      </w:tr>
      <w:tr w14:paraId="228E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0CF61C45">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过载</w:t>
            </w:r>
          </w:p>
        </w:tc>
        <w:tc>
          <w:tcPr>
            <w:tcW w:w="3740" w:type="pct"/>
            <w:gridSpan w:val="5"/>
            <w:vAlign w:val="center"/>
          </w:tcPr>
          <w:p w14:paraId="014C19A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200ppm（长时间过载会损坏传感器）</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259"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740"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2年（空气中）</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259"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740"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259"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740"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59"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740"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259"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740"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59"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747"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747"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747"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747"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752"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259"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747"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747"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747"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747"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752"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40"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59"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40"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259"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40"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259"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40"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w:t>
            </w:r>
            <w:r>
              <w:rPr>
                <w:rFonts w:hint="eastAsia"/>
                <w:highlight w:val="none"/>
                <w:lang w:val="en-US" w:eastAsia="zh"/>
                <w:woUserID w:val="1"/>
              </w:rPr>
              <w:t>6</w:t>
            </w:r>
            <w:r>
              <w:rPr>
                <w:rFonts w:hint="eastAsia"/>
                <w:highlight w:val="none"/>
                <w:lang w:val="en-US" w:eastAsia="zh-CN"/>
              </w:rPr>
              <w:t>00s，上报周期</w:t>
            </w:r>
            <w:r>
              <w:rPr>
                <w:rFonts w:hint="eastAsia"/>
                <w:highlight w:val="none"/>
                <w:lang w:val="en-US" w:eastAsia="zh"/>
                <w:woUserID w:val="1"/>
              </w:rPr>
              <w:t>18</w:t>
            </w:r>
            <w:r>
              <w:rPr>
                <w:rFonts w:hint="eastAsia"/>
                <w:highlight w:val="none"/>
                <w:lang w:val="en-US" w:eastAsia="zh-CN"/>
              </w:rPr>
              <w:t>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r>
              <w:rPr>
                <w:rFonts w:hint="eastAsia"/>
                <w:highlight w:val="none"/>
                <w:lang w:val="en-US" w:eastAsia="zh"/>
                <w:woUserID w:val="1"/>
              </w:rPr>
              <w:t>2.8</w:t>
            </w:r>
            <w:r>
              <w:rPr>
                <w:rFonts w:hint="eastAsia"/>
                <w:highlight w:val="none"/>
                <w:lang w:val="en-US" w:eastAsia="zh-CN"/>
              </w:rPr>
              <w:t>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r>
              <w:rPr>
                <w:rFonts w:hint="eastAsia"/>
                <w:highlight w:val="none"/>
                <w:lang w:val="en-US" w:eastAsia="zh"/>
                <w:woUserID w:val="1"/>
              </w:rPr>
              <w:t>1.31</w:t>
            </w:r>
            <w:r>
              <w:rPr>
                <w:rFonts w:hint="eastAsia"/>
                <w:highlight w:val="none"/>
                <w:lang w:val="en-US" w:eastAsia="zh-CN"/>
              </w:rPr>
              <w:t>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r>
              <w:rPr>
                <w:rFonts w:hint="eastAsia"/>
                <w:highlight w:val="none"/>
                <w:lang w:val="en-US" w:eastAsia="zh"/>
                <w:woUserID w:val="1"/>
              </w:rPr>
              <w:t>2.38</w:t>
            </w:r>
            <w:bookmarkStart w:id="142" w:name="_GoBack"/>
            <w:bookmarkEnd w:id="142"/>
            <w:r>
              <w:rPr>
                <w:rFonts w:hint="eastAsia"/>
                <w:highlight w:val="none"/>
                <w:lang w:val="en-US" w:eastAsia="zh-CN"/>
              </w:rPr>
              <w:t>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259" w:type="pct"/>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40" w:type="pct"/>
            <w:gridSpan w:val="5"/>
            <w:vAlign w:val="center"/>
          </w:tcPr>
          <w:p w14:paraId="643B1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CBBD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C7AC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2114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40" w:type="pct"/>
            <w:gridSpan w:val="5"/>
            <w:vAlign w:val="center"/>
          </w:tcPr>
          <w:p w14:paraId="3BB4D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872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变送器探头：（0~35）℃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9"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40"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22119769">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5"/>
    <w:bookmarkEnd w:id="96"/>
    <w:bookmarkEnd w:id="97"/>
    <w:bookmarkEnd w:id="98"/>
    <w:bookmarkEnd w:id="99"/>
    <w:bookmarkEnd w:id="100"/>
    <w:bookmarkEnd w:id="103"/>
    <w:bookmarkEnd w:id="104"/>
    <w:p w14:paraId="77767A5C">
      <w:pPr>
        <w:rPr>
          <w:rFonts w:hint="eastAsia"/>
          <w:lang w:val="en-US" w:eastAsia="zh-CN"/>
        </w:rPr>
      </w:pPr>
      <w:bookmarkStart w:id="106" w:name="_Toc26576_WPSOffice_Level1"/>
      <w:bookmarkStart w:id="107" w:name="_Toc5059_WPSOffice_Level1"/>
      <w:bookmarkStart w:id="108" w:name="_Toc897_WPSOffice_Level1"/>
      <w:bookmarkStart w:id="109" w:name="_Toc23137"/>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7122"/>
      <w:r>
        <w:rPr>
          <w:rFonts w:hint="eastAsia" w:ascii="Times New Roman" w:hAnsi="Times New Roman" w:eastAsia="宋体"/>
          <w:b/>
          <w:sz w:val="21"/>
          <w:lang w:val="en-US" w:eastAsia="zh-CN"/>
        </w:rPr>
        <w:t>产品结构与尺寸</w:t>
      </w:r>
      <w:bookmarkEnd w:id="110"/>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2771"/>
      <w:r>
        <w:rPr>
          <w:rFonts w:hint="eastAsia"/>
          <w:lang w:val="en-US" w:eastAsia="zh-CN"/>
        </w:rPr>
        <w:t>外形尺寸</w:t>
      </w:r>
      <w:bookmarkEnd w:id="111"/>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ascii="宋体" w:hAnsi="宋体" w:eastAsia="宋体" w:cs="宋体"/>
          <w:sz w:val="24"/>
          <w:szCs w:val="24"/>
        </w:rPr>
        <w:drawing>
          <wp:inline distT="0" distB="0" distL="114300" distR="114300">
            <wp:extent cx="2952115" cy="2157095"/>
            <wp:effectExtent l="0" t="0" r="635" b="1460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3"/>
                    <a:stretch>
                      <a:fillRect/>
                    </a:stretch>
                  </pic:blipFill>
                  <pic:spPr>
                    <a:xfrm>
                      <a:off x="0" y="0"/>
                      <a:ext cx="2952115" cy="2157095"/>
                    </a:xfrm>
                    <a:prstGeom prst="rect">
                      <a:avLst/>
                    </a:prstGeom>
                    <a:noFill/>
                    <a:ln w="9525">
                      <a:noFill/>
                    </a:ln>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302C8C83">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28278"/>
      <w:r>
        <w:rPr>
          <w:rFonts w:hint="eastAsia"/>
          <w:b/>
          <w:bCs/>
          <w:lang w:val="en-US" w:eastAsia="zh-CN"/>
        </w:rPr>
        <w:t>连接线缆</w:t>
      </w:r>
      <w:bookmarkEnd w:id="112"/>
    </w:p>
    <w:p w14:paraId="5DE20D63">
      <w:pPr>
        <w:rPr>
          <w:rFonts w:hint="default"/>
          <w:lang w:val="en-US" w:eastAsia="zh-CN"/>
        </w:rPr>
      </w:pPr>
      <w:r>
        <w:rPr>
          <w:rFonts w:hint="eastAsia"/>
          <w:lang w:val="en-US" w:eastAsia="zh-CN"/>
        </w:rPr>
        <w:t>线缆长度：1.5m，其他长度需定制。</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28874"/>
      <w:r>
        <w:rPr>
          <w:rFonts w:hint="eastAsia" w:ascii="Times New Roman" w:hAnsi="Times New Roman" w:eastAsia="宋体"/>
          <w:b/>
          <w:bCs/>
          <w:lang w:val="en-US" w:eastAsia="zh-CN"/>
        </w:rPr>
        <w:t>材质</w:t>
      </w:r>
      <w:bookmarkEnd w:id="113"/>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BF4EC30">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1ACB8CA5">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25731"/>
      <w:r>
        <w:rPr>
          <w:rFonts w:hint="eastAsia" w:ascii="Times New Roman" w:hAnsi="Times New Roman" w:eastAsia="宋体"/>
          <w:b/>
          <w:sz w:val="21"/>
          <w:lang w:val="en-US" w:eastAsia="zh-CN"/>
        </w:rPr>
        <w:t>安装</w:t>
      </w:r>
      <w:bookmarkEnd w:id="106"/>
      <w:bookmarkEnd w:id="107"/>
      <w:bookmarkEnd w:id="108"/>
      <w:bookmarkEnd w:id="109"/>
      <w:bookmarkStart w:id="115" w:name="_Toc8102_WPSOffice_Level2"/>
      <w:bookmarkStart w:id="116" w:name="_Toc5895_WPSOffice_Level2"/>
      <w:bookmarkStart w:id="117" w:name="_Toc2997_WPSOffice_Level2"/>
      <w:bookmarkStart w:id="118" w:name="_Toc19936"/>
      <w:bookmarkStart w:id="119" w:name="_Toc23325"/>
      <w:r>
        <w:rPr>
          <w:rFonts w:hint="eastAsia"/>
          <w:b/>
          <w:sz w:val="21"/>
          <w:lang w:val="en-US" w:eastAsia="zh-CN"/>
        </w:rPr>
        <w:t>与使用</w:t>
      </w:r>
      <w:bookmarkEnd w:id="114"/>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0965"/>
      <w:bookmarkStart w:id="121" w:name="_Toc25939"/>
      <w:bookmarkStart w:id="122" w:name="_Toc29826"/>
      <w:r>
        <w:rPr>
          <w:rFonts w:hint="eastAsia" w:ascii="Times New Roman" w:hAnsi="Times New Roman" w:eastAsia="宋体"/>
          <w:lang w:val="en-US" w:eastAsia="zh-CN"/>
        </w:rPr>
        <w:t>到货检查</w:t>
      </w:r>
      <w:bookmarkEnd w:id="120"/>
      <w:bookmarkEnd w:id="121"/>
      <w:bookmarkEnd w:id="122"/>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3" w:name="_Toc22767"/>
      <w:bookmarkStart w:id="124" w:name="_Toc17929"/>
      <w:bookmarkStart w:id="125" w:name="_Toc13983"/>
      <w:r>
        <w:rPr>
          <w:rFonts w:hint="eastAsia"/>
          <w:highlight w:val="none"/>
          <w:lang w:val="en-US" w:eastAsia="zh-CN"/>
        </w:rPr>
        <w:t>安装使用注意</w:t>
      </w:r>
      <w:bookmarkEnd w:id="123"/>
      <w:bookmarkEnd w:id="124"/>
      <w:bookmarkEnd w:id="125"/>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171F2B13">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4CDFCD5B">
      <w:pPr>
        <w:numPr>
          <w:ilvl w:val="0"/>
          <w:numId w:val="7"/>
        </w:numPr>
      </w:pPr>
      <w:r>
        <w:rPr>
          <w:rFonts w:hint="eastAsia" w:ascii="Times New Roman" w:hAnsi="Times New Roman" w:eastAsia="宋体"/>
          <w:highlight w:val="none"/>
          <w:lang w:val="en-US" w:eastAsia="zh-CN"/>
        </w:rPr>
        <w:t>传感器测试和应用时，须避免正面垂直进气。</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6" w:name="_Toc13041"/>
      <w:bookmarkStart w:id="127" w:name="_Toc21119"/>
      <w:r>
        <w:rPr>
          <w:rFonts w:hint="eastAsia"/>
          <w:highlight w:val="none"/>
          <w:lang w:val="en-US" w:eastAsia="zh-CN"/>
        </w:rPr>
        <w:t>安装示意</w:t>
      </w:r>
      <w:bookmarkEnd w:id="126"/>
      <w:bookmarkEnd w:id="127"/>
    </w:p>
    <w:bookmarkEnd w:id="115"/>
    <w:bookmarkEnd w:id="116"/>
    <w:bookmarkEnd w:id="117"/>
    <w:bookmarkEnd w:id="118"/>
    <w:bookmarkEnd w:id="119"/>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如下图所示方向，将配件安装在变送器背面，两颗螺丝固定，变送器可以直接卡在35mm的导轨上。</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0" distR="0">
            <wp:extent cx="2612390" cy="1018540"/>
            <wp:effectExtent l="0" t="0" r="16510" b="10160"/>
            <wp:docPr id="20" name="图片 20" descr="C:\Users\shuttle\AppData\Local\Temp\企业微信截图_175522226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shuttle\AppData\Local\Temp\企业微信截图_17552222682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613176" cy="1019138"/>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1F4E1BC6">
      <w:pPr>
        <w:ind w:firstLine="360" w:firstLineChars="200"/>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也可以安装固定卡片，如下如所示，向上推动弹簧，将卡片卡进，以方便螺丝或者扎带进行固定安装。</w:t>
      </w:r>
    </w:p>
    <w:p w14:paraId="6ABF4C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2160270" cy="1085850"/>
            <wp:effectExtent l="0" t="0" r="1143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2160270" cy="1085850"/>
                    </a:xfrm>
                    <a:prstGeom prst="rect">
                      <a:avLst/>
                    </a:prstGeom>
                    <a:noFill/>
                    <a:ln>
                      <a:noFill/>
                    </a:ln>
                  </pic:spPr>
                </pic:pic>
              </a:graphicData>
            </a:graphic>
          </wp:inline>
        </w:drawing>
      </w:r>
    </w:p>
    <w:p w14:paraId="5BBE65F3">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lang w:val="zh-TW" w:eastAsia="zh-CN"/>
        </w:rPr>
        <w:t>安装</w:t>
      </w:r>
      <w:r>
        <w:rPr>
          <w:rFonts w:hint="eastAsia"/>
          <w:lang w:val="en-US" w:eastAsia="zh-CN"/>
        </w:rPr>
        <w:t>示意图</w:t>
      </w:r>
    </w:p>
    <w:p w14:paraId="594A8BE5">
      <w:pPr>
        <w:rPr>
          <w:rFonts w:hint="eastAsia"/>
          <w:color w:val="auto"/>
          <w:highlight w:val="none"/>
          <w:lang w:val="en-US" w:eastAsia="zh-CN"/>
        </w:rPr>
      </w:pPr>
      <w:r>
        <w:rPr>
          <w:rFonts w:hint="eastAsia"/>
          <w:color w:val="auto"/>
          <w:highlight w:val="none"/>
          <w:lang w:val="en-US" w:eastAsia="zh-CN"/>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8" w:name="_Toc21938"/>
      <w:r>
        <w:rPr>
          <w:rFonts w:hint="eastAsia" w:ascii="Times New Roman" w:hAnsi="Times New Roman" w:eastAsia="宋体"/>
          <w:b/>
          <w:sz w:val="21"/>
          <w:lang w:val="en-US" w:eastAsia="zh-CN"/>
        </w:rPr>
        <w:t>操作</w:t>
      </w:r>
      <w:bookmarkEnd w:id="128"/>
    </w:p>
    <w:p w14:paraId="27B9529C">
      <w:pPr>
        <w:pStyle w:val="3"/>
        <w:bidi w:val="0"/>
        <w:rPr>
          <w:rFonts w:hint="default"/>
          <w:lang w:val="en-US" w:eastAsia="zh-CN"/>
        </w:rPr>
      </w:pPr>
      <w:bookmarkStart w:id="129" w:name="_Toc8375"/>
      <w:r>
        <w:rPr>
          <w:rFonts w:hint="eastAsia"/>
          <w:lang w:val="en-US" w:eastAsia="zh-CN"/>
        </w:rPr>
        <w:t>显示与操作单元</w:t>
      </w:r>
      <w:bookmarkEnd w:id="129"/>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4F3840F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4ADC4F2F">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氨气浓度测量值</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18A1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6E191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1EB05B16">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06EDC39B">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1909ABCE">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1ED1BDE9">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B17C0F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02485E5">
      <w:pPr>
        <w:bidi w:val="0"/>
        <w:rPr>
          <w:rFonts w:hint="default"/>
          <w:lang w:val="en-US" w:eastAsia="zh-CN"/>
        </w:rPr>
      </w:pPr>
      <w:r>
        <w:rPr>
          <w:rFonts w:hint="default"/>
          <w:lang w:val="en-US" w:eastAsia="zh-CN"/>
        </w:rPr>
        <w:t>系统指示灯：</w:t>
      </w:r>
    </w:p>
    <w:p w14:paraId="1D3B8E6E">
      <w:pPr>
        <w:bidi w:val="0"/>
      </w:pPr>
      <w:r>
        <w:rPr>
          <w:rFonts w:hint="default"/>
          <w:lang w:val="en-US" w:eastAsia="zh-CN"/>
        </w:rPr>
        <w:t xml:space="preserve">绿色闪烁，表示设备正常 </w:t>
      </w:r>
    </w:p>
    <w:p w14:paraId="4FD57492">
      <w:pPr>
        <w:bidi w:val="0"/>
      </w:pPr>
      <w:r>
        <w:rPr>
          <w:rFonts w:hint="default"/>
          <w:lang w:val="en-US" w:eastAsia="zh-CN"/>
        </w:rPr>
        <w:t xml:space="preserve">橙色闪烁，表示设备报警 </w:t>
      </w:r>
    </w:p>
    <w:p w14:paraId="5E8FE81D">
      <w:pPr>
        <w:bidi w:val="0"/>
      </w:pPr>
      <w:r>
        <w:rPr>
          <w:rFonts w:hint="default"/>
          <w:lang w:val="en-US" w:eastAsia="zh-CN"/>
        </w:rPr>
        <w:t>红色闪烁，表示设备故障</w:t>
      </w: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报警及故障信息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23E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7A1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08ACF10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325C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3CE916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3544CA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415E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1AE486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1AB5A7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3D62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6415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9037B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AE6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8BA0F8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2246A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53F37C6E">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表示当前采集氨气气体浓度值触发报警阈值</w:t>
      </w:r>
      <w:r>
        <w:rPr>
          <w:rFonts w:hint="default"/>
          <w:lang w:val="en-US" w:eastAsia="zh-CN"/>
        </w:rPr>
        <w:t>。</w:t>
      </w:r>
    </w:p>
    <w:p w14:paraId="5C275928">
      <w:pPr>
        <w:pStyle w:val="3"/>
        <w:bidi w:val="0"/>
        <w:ind w:left="567" w:hanging="567"/>
        <w:rPr>
          <w:rFonts w:hint="default"/>
          <w:lang w:val="en-US" w:eastAsia="zh-CN"/>
        </w:rPr>
      </w:pPr>
      <w:bookmarkStart w:id="130" w:name="_Toc5825"/>
      <w:r>
        <w:rPr>
          <w:rFonts w:hint="eastAsia"/>
          <w:lang w:val="en-US" w:eastAsia="zh-CN"/>
        </w:rPr>
        <w:t>现场操作</w:t>
      </w:r>
      <w:bookmarkEnd w:id="130"/>
    </w:p>
    <w:p w14:paraId="7372137C">
      <w:pPr>
        <w:pStyle w:val="4"/>
        <w:bidi w:val="0"/>
        <w:ind w:left="720" w:leftChars="0" w:hanging="720" w:firstLineChars="0"/>
        <w:rPr>
          <w:rFonts w:hint="eastAsia"/>
          <w:lang w:val="en-US" w:eastAsia="zh-CN"/>
        </w:rPr>
      </w:pPr>
      <w:r>
        <w:rPr>
          <w:rFonts w:hint="eastAsia"/>
          <w:lang w:val="en-US" w:eastAsia="zh-CN"/>
        </w:rPr>
        <w:t xml:space="preserve"> 设备按键操作</w:t>
      </w:r>
    </w:p>
    <w:p w14:paraId="69168BA8">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63C783C2">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78D7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5E4CAE6D">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01459A08">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576F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472D7BCE">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0B6B60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479FF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4B816BB0">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1A37BD89">
      <w:pPr>
        <w:bidi w:val="0"/>
        <w:rPr>
          <w:rFonts w:hint="eastAsia" w:cs="Times New Roman"/>
          <w:color w:val="auto"/>
          <w:sz w:val="18"/>
          <w:szCs w:val="18"/>
          <w:vertAlign w:val="baseline"/>
          <w:lang w:val="en-US" w:eastAsia="zh-CN"/>
        </w:rPr>
      </w:pPr>
      <w:r>
        <w:rPr>
          <w:rFonts w:hint="eastAsia"/>
          <w:lang w:val="en-US" w:eastAsia="zh-CN"/>
        </w:rPr>
        <w:t>校准操作：进入</w:t>
      </w:r>
      <w:r>
        <w:rPr>
          <w:rFonts w:hint="eastAsia" w:cs="Times New Roman"/>
          <w:color w:val="auto"/>
          <w:sz w:val="18"/>
          <w:szCs w:val="18"/>
          <w:vertAlign w:val="baseline"/>
          <w:lang w:val="en-US" w:eastAsia="zh-CN"/>
        </w:rPr>
        <w:t>Calibration页面可对传感器进行校准。校准时需准备在氨气浓度为零的环境中进行校准。</w:t>
      </w:r>
    </w:p>
    <w:p w14:paraId="2A1DD7E0">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零点校准：将传感器放在氨气浓度为零的环境中，待3~5分钟数值稳定后进行零点校准。</w:t>
      </w:r>
      <w:r>
        <w:rPr>
          <w:rFonts w:hint="eastAsia"/>
          <w:lang w:val="en-US" w:eastAsia="zh-CN"/>
        </w:rPr>
        <w:t xml:space="preserve">进入参数设置界面后再进入校准子界面，光标选中Zero </w:t>
      </w:r>
      <w:r>
        <w:rPr>
          <w:rFonts w:hint="eastAsia" w:cs="Times New Roman"/>
          <w:color w:val="auto"/>
          <w:sz w:val="18"/>
          <w:szCs w:val="18"/>
          <w:vertAlign w:val="baseline"/>
          <w:lang w:val="en-US" w:eastAsia="zh-CN"/>
        </w:rPr>
        <w:t>Calib，双击按键，等待界面显示OK。</w:t>
      </w:r>
    </w:p>
    <w:p w14:paraId="133C680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ascii="宋体" w:hAnsi="宋体" w:eastAsia="宋体" w:cs="宋体"/>
          <w:sz w:val="24"/>
          <w:szCs w:val="24"/>
        </w:rPr>
        <w:drawing>
          <wp:inline distT="0" distB="0" distL="114300" distR="114300">
            <wp:extent cx="1476375" cy="1080135"/>
            <wp:effectExtent l="0" t="0" r="9525" b="5715"/>
            <wp:docPr id="4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descr="IMG_256"/>
                    <pic:cNvPicPr>
                      <a:picLocks noChangeAspect="1"/>
                    </pic:cNvPicPr>
                  </pic:nvPicPr>
                  <pic:blipFill>
                    <a:blip r:embed="rId52"/>
                    <a:stretch>
                      <a:fillRect/>
                    </a:stretch>
                  </pic:blipFill>
                  <pic:spPr>
                    <a:xfrm>
                      <a:off x="0" y="0"/>
                      <a:ext cx="1476375" cy="1080135"/>
                    </a:xfrm>
                    <a:prstGeom prst="rect">
                      <a:avLst/>
                    </a:prstGeom>
                    <a:noFill/>
                    <a:ln w="9525">
                      <a:noFill/>
                    </a:ln>
                  </pic:spPr>
                </pic:pic>
              </a:graphicData>
            </a:graphic>
          </wp:inline>
        </w:drawing>
      </w:r>
    </w:p>
    <w:p w14:paraId="07505409">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332C904B">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0525306C">
      <w:pPr>
        <w:pStyle w:val="4"/>
        <w:bidi w:val="0"/>
        <w:ind w:left="720" w:leftChars="0" w:hanging="720" w:firstLineChars="0"/>
        <w:rPr>
          <w:rFonts w:hint="default"/>
          <w:lang w:val="en-US" w:eastAsia="zh-CN"/>
        </w:rPr>
      </w:pPr>
      <w:r>
        <w:rPr>
          <w:rFonts w:hint="eastAsia"/>
          <w:lang w:val="en-US" w:eastAsia="zh-CN"/>
        </w:rPr>
        <w:t xml:space="preserve"> 页面参数说明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34"/>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1009"/>
        <w:gridCol w:w="1040"/>
        <w:gridCol w:w="1891"/>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FC2C5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6146C8E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49"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936"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FDB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477F77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2B8D74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RS485：1-99</w:t>
            </w:r>
          </w:p>
        </w:tc>
        <w:tc>
          <w:tcPr>
            <w:tcW w:w="1949"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5D219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448F7A0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49"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LoRa网络ID（仅LoRa版本）</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6"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78E48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27AE4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49" w:type="pct"/>
            <w:vAlign w:val="center"/>
          </w:tcPr>
          <w:p w14:paraId="101E5801">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LoRa网络通道（仅LoRa版本）</w:t>
            </w:r>
          </w:p>
        </w:tc>
      </w:tr>
      <w:tr w14:paraId="5777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766D62F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19560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72" w:type="pct"/>
            <w:vAlign w:val="center"/>
          </w:tcPr>
          <w:p w14:paraId="150088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6A17B16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波特率（仅RS485版本）</w:t>
            </w:r>
          </w:p>
        </w:tc>
      </w:tr>
      <w:tr w14:paraId="6855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1B7FA77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AAD0F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72" w:type="pct"/>
            <w:vAlign w:val="center"/>
          </w:tcPr>
          <w:p w14:paraId="74D1898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575B22AF">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0E9E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6" w:type="pct"/>
            <w:vMerge w:val="continue"/>
            <w:vAlign w:val="center"/>
          </w:tcPr>
          <w:p w14:paraId="557975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p>
        </w:tc>
        <w:tc>
          <w:tcPr>
            <w:tcW w:w="1040" w:type="pct"/>
            <w:vAlign w:val="center"/>
          </w:tcPr>
          <w:p w14:paraId="2F2E06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27783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49" w:type="pct"/>
            <w:vAlign w:val="center"/>
          </w:tcPr>
          <w:p w14:paraId="65F31824">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83E8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9F753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3ED9BEC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RS485：1-99</w:t>
            </w:r>
          </w:p>
        </w:tc>
        <w:tc>
          <w:tcPr>
            <w:tcW w:w="1949" w:type="pct"/>
            <w:vAlign w:val="center"/>
          </w:tcPr>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1" w:name="_Toc6386"/>
            <w:r>
              <w:rPr>
                <w:rFonts w:hint="eastAsia" w:cs="Times New Roman"/>
                <w:color w:val="auto"/>
                <w:sz w:val="18"/>
                <w:szCs w:val="18"/>
                <w:vertAlign w:val="baseline"/>
                <w:lang w:val="en-US" w:eastAsia="zh-CN"/>
              </w:rPr>
              <w:t>Net</w:t>
            </w:r>
          </w:p>
        </w:tc>
        <w:tc>
          <w:tcPr>
            <w:tcW w:w="1040" w:type="pct"/>
            <w:vAlign w:val="center"/>
          </w:tcPr>
          <w:p w14:paraId="660B92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5F0CF4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49"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可修改设备LoRa网络ID </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40" w:type="pct"/>
            <w:vAlign w:val="center"/>
          </w:tcPr>
          <w:p w14:paraId="27E8E0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072" w:type="pct"/>
            <w:vAlign w:val="center"/>
          </w:tcPr>
          <w:p w14:paraId="269FE5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49"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可修改设备LoRa网络通道</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Baudrate</w:t>
            </w:r>
          </w:p>
        </w:tc>
        <w:tc>
          <w:tcPr>
            <w:tcW w:w="1040" w:type="pct"/>
            <w:vAlign w:val="center"/>
          </w:tcPr>
          <w:p w14:paraId="0778F6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10C634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4800  </w:t>
            </w:r>
          </w:p>
          <w:p w14:paraId="4B4DE0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9600  </w:t>
            </w:r>
          </w:p>
          <w:p w14:paraId="19538A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19200  </w:t>
            </w:r>
          </w:p>
          <w:p w14:paraId="33A7740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38400</w:t>
            </w:r>
          </w:p>
          <w:p w14:paraId="292232B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 xml:space="preserve">57600  </w:t>
            </w:r>
          </w:p>
          <w:p w14:paraId="343348C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115200</w:t>
            </w:r>
          </w:p>
        </w:tc>
        <w:tc>
          <w:tcPr>
            <w:tcW w:w="1949"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可修改设备RS485通信波特率</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6"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Calibration</w:t>
            </w:r>
          </w:p>
        </w:tc>
        <w:tc>
          <w:tcPr>
            <w:tcW w:w="1040" w:type="pct"/>
            <w:vAlign w:val="center"/>
          </w:tcPr>
          <w:p w14:paraId="779E67E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 Calib</w:t>
            </w:r>
          </w:p>
        </w:tc>
        <w:tc>
          <w:tcPr>
            <w:tcW w:w="1072" w:type="pct"/>
            <w:vAlign w:val="center"/>
          </w:tcPr>
          <w:p w14:paraId="297C384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49"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零点校零</w:t>
            </w:r>
          </w:p>
        </w:tc>
      </w:tr>
    </w:tbl>
    <w:p w14:paraId="6AB7143C">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2" w:name="_Toc7301"/>
      <w:r>
        <w:rPr>
          <w:rFonts w:hint="eastAsia"/>
          <w:lang w:val="en-US" w:eastAsia="zh-CN"/>
        </w:rPr>
        <w:t>设备</w:t>
      </w:r>
      <w:r>
        <w:rPr>
          <w:rFonts w:hint="eastAsia" w:ascii="Times New Roman" w:hAnsi="Times New Roman" w:eastAsia="宋体"/>
          <w:lang w:val="en-US" w:eastAsia="zh-CN"/>
        </w:rPr>
        <w:t>上云</w:t>
      </w:r>
      <w:bookmarkEnd w:id="131"/>
      <w:bookmarkEnd w:id="132"/>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lang w:val="en-US" w:eastAsia="zh-CN"/>
        </w:rPr>
      </w:pPr>
      <w:r>
        <w:rPr>
          <w:rFonts w:hint="eastAsia" w:ascii="宋体" w:hAnsi="宋体" w:eastAsia="宋体" w:cs="宋体"/>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b/>
          <w:bCs/>
          <w:color w:val="auto"/>
          <w:lang w:val="en-US" w:eastAsia="zh-CN"/>
        </w:rPr>
        <w:t xml:space="preserve"> 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3" w:name="_Toc19456"/>
      <w:r>
        <w:rPr>
          <w:rFonts w:hint="eastAsia"/>
          <w:lang w:val="en-US" w:eastAsia="zh-CN"/>
        </w:rPr>
        <w:t>设备本地蓝牙配置</w:t>
      </w:r>
      <w:bookmarkEnd w:id="133"/>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4" w:name="_Toc20974"/>
      <w:r>
        <w:rPr>
          <w:rFonts w:hint="eastAsia" w:ascii="Times New Roman" w:hAnsi="Times New Roman" w:eastAsia="宋体"/>
          <w:lang w:val="en-US" w:eastAsia="zh-CN"/>
        </w:rPr>
        <w:t>使用注意事项</w:t>
      </w:r>
      <w:bookmarkEnd w:id="134"/>
    </w:p>
    <w:p w14:paraId="6E799FB3">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5" w:name="_Toc16120"/>
      <w:r>
        <w:rPr>
          <w:rFonts w:hint="eastAsia" w:ascii="Times New Roman" w:hAnsi="Times New Roman" w:eastAsia="宋体"/>
          <w:b/>
          <w:sz w:val="21"/>
          <w:lang w:val="en-US" w:eastAsia="zh-CN"/>
        </w:rPr>
        <w:t>故障分析及排除</w:t>
      </w:r>
      <w:bookmarkEnd w:id="135"/>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氨气变送器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1817EC57">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6" w:name="_Toc1929"/>
      <w:r>
        <w:rPr>
          <w:rFonts w:hint="eastAsia" w:ascii="Times New Roman" w:hAnsi="Times New Roman" w:eastAsia="宋体"/>
          <w:b/>
          <w:sz w:val="21"/>
          <w:lang w:val="en-US" w:eastAsia="zh-CN"/>
        </w:rPr>
        <w:t>质保及售后服务</w:t>
      </w:r>
      <w:bookmarkEnd w:id="136"/>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0A7010F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7" w:name="_Toc6711"/>
      <w:bookmarkStart w:id="138" w:name="_Toc2118"/>
      <w:bookmarkStart w:id="139" w:name="_Toc22776"/>
      <w:bookmarkStart w:id="140" w:name="_Toc3977"/>
      <w:r>
        <w:rPr>
          <w:rFonts w:hint="eastAsia"/>
          <w:b/>
          <w:sz w:val="21"/>
          <w:lang w:val="en-US" w:eastAsia="zh-CN"/>
        </w:rPr>
        <w:t>附录 数据通信</w:t>
      </w:r>
      <w:bookmarkEnd w:id="137"/>
      <w:bookmarkEnd w:id="138"/>
      <w:bookmarkEnd w:id="139"/>
      <w:bookmarkEnd w:id="140"/>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0A323A8F">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p>
    <w:p w14:paraId="40EFC7ED">
      <w:pPr>
        <w:keepNext w:val="0"/>
        <w:keepLines w:val="0"/>
        <w:pageBreakBefore w:val="0"/>
        <w:widowControl w:val="0"/>
        <w:numPr>
          <w:ilvl w:val="0"/>
          <w:numId w:val="10"/>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26466EA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71571B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1974"/>
        <w:gridCol w:w="2249"/>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97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2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9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787962B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13CB2D2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低阈值高位</w:t>
            </w:r>
          </w:p>
        </w:tc>
        <w:tc>
          <w:tcPr>
            <w:tcW w:w="2249" w:type="dxa"/>
            <w:vMerge w:val="restart"/>
            <w:tcBorders>
              <w:top w:val="single" w:color="000000" w:sz="4" w:space="0"/>
              <w:left w:val="single" w:color="000000" w:sz="4" w:space="0"/>
              <w:right w:val="single" w:color="000000" w:sz="4" w:space="0"/>
            </w:tcBorders>
            <w:shd w:val="clear" w:color="auto" w:fill="auto"/>
            <w:vAlign w:val="center"/>
          </w:tcPr>
          <w:p w14:paraId="1FE048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699C2E4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9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低阈值低位</w:t>
            </w:r>
          </w:p>
        </w:tc>
        <w:tc>
          <w:tcPr>
            <w:tcW w:w="2249"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2585991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C17FF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ppm，默认999.9</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高限值低位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低限值高位</w:t>
            </w:r>
          </w:p>
        </w:tc>
        <w:tc>
          <w:tcPr>
            <w:tcW w:w="2249" w:type="dxa"/>
            <w:vMerge w:val="restart"/>
            <w:tcBorders>
              <w:top w:val="single" w:color="000000" w:sz="4" w:space="0"/>
              <w:left w:val="single" w:color="000000" w:sz="4" w:space="0"/>
              <w:right w:val="single" w:color="000000" w:sz="4" w:space="0"/>
            </w:tcBorders>
            <w:shd w:val="clear" w:color="auto" w:fill="auto"/>
            <w:noWrap/>
            <w:vAlign w:val="center"/>
          </w:tcPr>
          <w:p w14:paraId="536E70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48A0FB3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低限值低位</w:t>
            </w:r>
          </w:p>
        </w:tc>
        <w:tc>
          <w:tcPr>
            <w:tcW w:w="2249"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氨气</w:t>
            </w:r>
            <w:r>
              <w:rPr>
                <w:rFonts w:hint="eastAsia" w:ascii="宋体" w:hAnsi="宋体" w:eastAsia="宋体" w:cs="宋体"/>
                <w:i w:val="0"/>
                <w:iCs w:val="0"/>
                <w:color w:val="000000"/>
                <w:kern w:val="0"/>
                <w:sz w:val="18"/>
                <w:szCs w:val="18"/>
                <w:u w:val="none"/>
                <w:lang w:val="en-US" w:eastAsia="zh-CN" w:bidi="ar"/>
              </w:rPr>
              <w:t>单位</w:t>
            </w:r>
          </w:p>
        </w:tc>
        <w:tc>
          <w:tcPr>
            <w:tcW w:w="22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FE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7E28F9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985ECF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BA7E7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42 05 51 EC C3 E0</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42 05 51 EC</w:t>
      </w:r>
      <w:r>
        <w:rPr>
          <w:rFonts w:hint="eastAsia" w:ascii="Times New Roman" w:hAnsi="Times New Roman" w:eastAsia="宋体"/>
          <w:b w:val="0"/>
          <w:bCs w:val="0"/>
          <w:lang w:val="en-US" w:eastAsia="zh-CN"/>
        </w:rPr>
        <w:t>，即</w:t>
      </w:r>
      <w:r>
        <w:rPr>
          <w:rFonts w:hint="eastAsia"/>
          <w:b w:val="0"/>
          <w:bCs w:val="0"/>
          <w:lang w:val="en-US" w:eastAsia="zh-CN"/>
        </w:rPr>
        <w:t>33.33ppm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氨气</w:t>
      </w:r>
      <w:r>
        <w:rPr>
          <w:rFonts w:hint="eastAsia" w:ascii="Times New Roman" w:hAnsi="Times New Roman" w:eastAsia="宋体"/>
          <w:b w:val="0"/>
          <w:bCs w:val="0"/>
          <w:lang w:val="en-US" w:eastAsia="zh-CN"/>
        </w:rPr>
        <w:t>高阈值为</w:t>
      </w:r>
      <w:r>
        <w:rPr>
          <w:rFonts w:hint="eastAsia"/>
          <w:b w:val="0"/>
          <w:bCs w:val="0"/>
          <w:lang w:val="en-US" w:eastAsia="zh-CN"/>
        </w:rPr>
        <w:t>20ppm</w:t>
      </w:r>
      <w:r>
        <w:rPr>
          <w:rFonts w:hint="eastAsia" w:ascii="Times New Roman" w:hAnsi="Times New Roman" w:eastAsia="宋体"/>
          <w:b w:val="0"/>
          <w:bCs w:val="0"/>
          <w:lang w:val="en-US" w:eastAsia="zh-CN"/>
        </w:rPr>
        <w:t>、</w:t>
      </w:r>
      <w:r>
        <w:rPr>
          <w:rFonts w:hint="eastAsia"/>
          <w:b w:val="0"/>
          <w:bCs w:val="0"/>
          <w:lang w:val="en-US" w:eastAsia="zh-CN"/>
        </w:rPr>
        <w:t>氨气</w:t>
      </w:r>
      <w:r>
        <w:rPr>
          <w:rFonts w:hint="eastAsia" w:ascii="Times New Roman" w:hAnsi="Times New Roman" w:eastAsia="宋体"/>
          <w:b w:val="0"/>
          <w:bCs w:val="0"/>
          <w:lang w:val="en-US" w:eastAsia="zh-CN"/>
        </w:rPr>
        <w:t>低阈值10</w:t>
      </w:r>
      <w:r>
        <w:rPr>
          <w:rFonts w:hint="eastAsia"/>
          <w:b w:val="0"/>
          <w:bCs w:val="0"/>
          <w:lang w:val="en-US" w:eastAsia="zh-CN"/>
        </w:rPr>
        <w:t>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41 A0 00 00 41 20 00 00 07 85</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280F224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3868D1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9A4C55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EFF3D7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58AEC6D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氨气浓度高于高阈值报警</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830"/>
        <w:gridCol w:w="830"/>
        <w:gridCol w:w="830"/>
        <w:gridCol w:w="830"/>
        <w:gridCol w:w="830"/>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3"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833"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33"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833"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833"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33"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833"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33"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833"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氨气浓度高于高阈值报警</w:t>
            </w:r>
          </w:p>
        </w:tc>
        <w:tc>
          <w:tcPr>
            <w:tcW w:w="833"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807"/>
        <w:gridCol w:w="974"/>
        <w:gridCol w:w="807"/>
        <w:gridCol w:w="808"/>
        <w:gridCol w:w="77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0" w:type="auto"/>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74" w:type="dxa"/>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807" w:type="dxa"/>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08" w:type="dxa"/>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76" w:type="dxa"/>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0" w:type="auto"/>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74" w:type="dxa"/>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807" w:type="dxa"/>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08" w:type="dxa"/>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氨气浓度高于上限</w:t>
            </w:r>
          </w:p>
        </w:tc>
        <w:tc>
          <w:tcPr>
            <w:tcW w:w="776" w:type="dxa"/>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氨气浓度低于下限</w:t>
            </w:r>
          </w:p>
        </w:tc>
      </w:tr>
    </w:tbl>
    <w:p w14:paraId="1942551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1" w:name="_Toc2749"/>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1"/>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T233</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016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76F736B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313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T233</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氨气</w:t>
      </w:r>
      <w:r>
        <w:rPr>
          <w:rFonts w:hint="eastAsia" w:ascii="Times New Roman" w:hAnsi="Times New Roman" w:eastAsia="宋体"/>
          <w:lang w:val="en-US" w:eastAsia="zh-CN"/>
        </w:rPr>
        <w:t>变送器，电池供电</w:t>
      </w:r>
    </w:p>
    <w:p w14:paraId="5C50C84D">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4131A7E"/>
    <w:multiLevelType w:val="multilevel"/>
    <w:tmpl w:val="A4131A7E"/>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C1355C66"/>
    <w:multiLevelType w:val="singleLevel"/>
    <w:tmpl w:val="C1355C66"/>
    <w:lvl w:ilvl="0" w:tentative="0">
      <w:start w:val="1"/>
      <w:numFmt w:val="decimal"/>
      <w:suff w:val="nothing"/>
      <w:lvlText w:val="（%1）"/>
      <w:lvlJc w:val="left"/>
    </w:lvl>
  </w:abstractNum>
  <w:abstractNum w:abstractNumId="4">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5">
    <w:nsid w:val="0DA1AF35"/>
    <w:multiLevelType w:val="singleLevel"/>
    <w:tmpl w:val="0DA1AF35"/>
    <w:lvl w:ilvl="0" w:tentative="0">
      <w:start w:val="1"/>
      <w:numFmt w:val="decimal"/>
      <w:lvlText w:val="%1."/>
      <w:lvlJc w:val="left"/>
      <w:pPr>
        <w:tabs>
          <w:tab w:val="left" w:pos="312"/>
        </w:tabs>
      </w:pPr>
    </w:lvl>
  </w:abstractNum>
  <w:abstractNum w:abstractNumId="6">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7">
    <w:nsid w:val="529F1534"/>
    <w:multiLevelType w:val="singleLevel"/>
    <w:tmpl w:val="529F1534"/>
    <w:lvl w:ilvl="0" w:tentative="0">
      <w:start w:val="1"/>
      <w:numFmt w:val="decimal"/>
      <w:lvlText w:val="%1."/>
      <w:lvlJc w:val="left"/>
      <w:pPr>
        <w:tabs>
          <w:tab w:val="left" w:pos="312"/>
        </w:tabs>
      </w:pPr>
    </w:lvl>
  </w:abstractNum>
  <w:abstractNum w:abstractNumId="8">
    <w:nsid w:val="65A96007"/>
    <w:multiLevelType w:val="singleLevel"/>
    <w:tmpl w:val="65A96007"/>
    <w:lvl w:ilvl="0" w:tentative="0">
      <w:start w:val="1"/>
      <w:numFmt w:val="decimal"/>
      <w:lvlText w:val="%1."/>
      <w:lvlJc w:val="left"/>
      <w:pPr>
        <w:tabs>
          <w:tab w:val="left" w:pos="312"/>
        </w:tabs>
      </w:pPr>
    </w:lvl>
  </w:abstractNum>
  <w:abstractNum w:abstractNumId="9">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
  </w:num>
  <w:num w:numId="2">
    <w:abstractNumId w:val="9"/>
  </w:num>
  <w:num w:numId="3">
    <w:abstractNumId w:val="0"/>
  </w:num>
  <w:num w:numId="4">
    <w:abstractNumId w:val="6"/>
  </w:num>
  <w:num w:numId="5">
    <w:abstractNumId w:val="2"/>
  </w:num>
  <w:num w:numId="6">
    <w:abstractNumId w:val="4"/>
  </w:num>
  <w:num w:numId="7">
    <w:abstractNumId w:val="3"/>
  </w:num>
  <w:num w:numId="8">
    <w:abstractNumId w:val="7"/>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24617F2"/>
    <w:rsid w:val="03870C59"/>
    <w:rsid w:val="04F64895"/>
    <w:rsid w:val="0530678A"/>
    <w:rsid w:val="055458EA"/>
    <w:rsid w:val="05812B41"/>
    <w:rsid w:val="063C2A27"/>
    <w:rsid w:val="069E423A"/>
    <w:rsid w:val="072F4F4B"/>
    <w:rsid w:val="0774295E"/>
    <w:rsid w:val="07B67C7D"/>
    <w:rsid w:val="07CC2F6B"/>
    <w:rsid w:val="08355A9E"/>
    <w:rsid w:val="08437A19"/>
    <w:rsid w:val="0B093D05"/>
    <w:rsid w:val="0B734C98"/>
    <w:rsid w:val="0D1C5E99"/>
    <w:rsid w:val="0D9F77C7"/>
    <w:rsid w:val="0E0F1632"/>
    <w:rsid w:val="0E121D8E"/>
    <w:rsid w:val="0E52151F"/>
    <w:rsid w:val="0E751CC7"/>
    <w:rsid w:val="0E8E7BE4"/>
    <w:rsid w:val="0EBD5EF0"/>
    <w:rsid w:val="0F430E61"/>
    <w:rsid w:val="0F7B1F2F"/>
    <w:rsid w:val="101A7019"/>
    <w:rsid w:val="103435F1"/>
    <w:rsid w:val="10463305"/>
    <w:rsid w:val="10822D43"/>
    <w:rsid w:val="10C1060B"/>
    <w:rsid w:val="1164635D"/>
    <w:rsid w:val="1174359A"/>
    <w:rsid w:val="11EA5DC8"/>
    <w:rsid w:val="126D6927"/>
    <w:rsid w:val="12BC340B"/>
    <w:rsid w:val="13C63285"/>
    <w:rsid w:val="13F422A1"/>
    <w:rsid w:val="13F44FB6"/>
    <w:rsid w:val="14A86F74"/>
    <w:rsid w:val="158A3C94"/>
    <w:rsid w:val="17A1319D"/>
    <w:rsid w:val="199649B5"/>
    <w:rsid w:val="1B537E12"/>
    <w:rsid w:val="1B99078D"/>
    <w:rsid w:val="1C912B6A"/>
    <w:rsid w:val="1E285DF8"/>
    <w:rsid w:val="1FB91598"/>
    <w:rsid w:val="1FD426AE"/>
    <w:rsid w:val="203B5995"/>
    <w:rsid w:val="205D447F"/>
    <w:rsid w:val="22032E8D"/>
    <w:rsid w:val="222B1769"/>
    <w:rsid w:val="22B468A5"/>
    <w:rsid w:val="230C7639"/>
    <w:rsid w:val="238A3FE8"/>
    <w:rsid w:val="24634697"/>
    <w:rsid w:val="24FE421F"/>
    <w:rsid w:val="25380D99"/>
    <w:rsid w:val="25753EE9"/>
    <w:rsid w:val="28F72F97"/>
    <w:rsid w:val="293E0BC6"/>
    <w:rsid w:val="29476D78"/>
    <w:rsid w:val="299E171E"/>
    <w:rsid w:val="2A126149"/>
    <w:rsid w:val="2A6C2BED"/>
    <w:rsid w:val="2C33629D"/>
    <w:rsid w:val="2C842721"/>
    <w:rsid w:val="2CC71C05"/>
    <w:rsid w:val="2DFF6B75"/>
    <w:rsid w:val="2EC13E2B"/>
    <w:rsid w:val="2FE21A1D"/>
    <w:rsid w:val="306D74E0"/>
    <w:rsid w:val="30B82700"/>
    <w:rsid w:val="30BD34B2"/>
    <w:rsid w:val="311D7312"/>
    <w:rsid w:val="31482F15"/>
    <w:rsid w:val="31483202"/>
    <w:rsid w:val="315C369D"/>
    <w:rsid w:val="31891F04"/>
    <w:rsid w:val="31C64BB0"/>
    <w:rsid w:val="31CF6BC1"/>
    <w:rsid w:val="32140715"/>
    <w:rsid w:val="324441C8"/>
    <w:rsid w:val="32681DDE"/>
    <w:rsid w:val="32AC70A5"/>
    <w:rsid w:val="32BC7672"/>
    <w:rsid w:val="34142C4F"/>
    <w:rsid w:val="343B467F"/>
    <w:rsid w:val="34874519"/>
    <w:rsid w:val="35B53EAD"/>
    <w:rsid w:val="35C47CDD"/>
    <w:rsid w:val="36406F2D"/>
    <w:rsid w:val="3654168E"/>
    <w:rsid w:val="377C2217"/>
    <w:rsid w:val="39111E53"/>
    <w:rsid w:val="39C3314D"/>
    <w:rsid w:val="39EB140E"/>
    <w:rsid w:val="3A6D758B"/>
    <w:rsid w:val="3B7F4E52"/>
    <w:rsid w:val="3CC86B3D"/>
    <w:rsid w:val="3CDE7541"/>
    <w:rsid w:val="3D776CFD"/>
    <w:rsid w:val="3D7F382F"/>
    <w:rsid w:val="3E251EC1"/>
    <w:rsid w:val="3FCC4001"/>
    <w:rsid w:val="406D219C"/>
    <w:rsid w:val="407E7DCE"/>
    <w:rsid w:val="412F5BD2"/>
    <w:rsid w:val="41322966"/>
    <w:rsid w:val="41BF7D93"/>
    <w:rsid w:val="43257C09"/>
    <w:rsid w:val="4337057B"/>
    <w:rsid w:val="433E7700"/>
    <w:rsid w:val="447E0A08"/>
    <w:rsid w:val="44C71617"/>
    <w:rsid w:val="46C202E8"/>
    <w:rsid w:val="47CD163B"/>
    <w:rsid w:val="482D0EBE"/>
    <w:rsid w:val="48320D42"/>
    <w:rsid w:val="48A779B6"/>
    <w:rsid w:val="48FD47D9"/>
    <w:rsid w:val="49060563"/>
    <w:rsid w:val="49660E46"/>
    <w:rsid w:val="499626E6"/>
    <w:rsid w:val="4AD94B37"/>
    <w:rsid w:val="4B1A6945"/>
    <w:rsid w:val="4B570322"/>
    <w:rsid w:val="4C7A0C69"/>
    <w:rsid w:val="4E2D698F"/>
    <w:rsid w:val="4FAB04B3"/>
    <w:rsid w:val="4FD60865"/>
    <w:rsid w:val="50735531"/>
    <w:rsid w:val="51C5066C"/>
    <w:rsid w:val="531059C7"/>
    <w:rsid w:val="53A337FE"/>
    <w:rsid w:val="53E27924"/>
    <w:rsid w:val="53F71FB7"/>
    <w:rsid w:val="54DC7CC1"/>
    <w:rsid w:val="56531AA7"/>
    <w:rsid w:val="568B06F7"/>
    <w:rsid w:val="5899314F"/>
    <w:rsid w:val="5922193C"/>
    <w:rsid w:val="59AA5F42"/>
    <w:rsid w:val="5A124F02"/>
    <w:rsid w:val="5A422B6B"/>
    <w:rsid w:val="5A757046"/>
    <w:rsid w:val="5ABC5689"/>
    <w:rsid w:val="5BC61CE8"/>
    <w:rsid w:val="5E304F6C"/>
    <w:rsid w:val="5E641A3D"/>
    <w:rsid w:val="5E8B2479"/>
    <w:rsid w:val="5F555D83"/>
    <w:rsid w:val="5FD3241A"/>
    <w:rsid w:val="5FDA100E"/>
    <w:rsid w:val="60175568"/>
    <w:rsid w:val="618B350E"/>
    <w:rsid w:val="63A177AC"/>
    <w:rsid w:val="653914E4"/>
    <w:rsid w:val="671F29FF"/>
    <w:rsid w:val="67753429"/>
    <w:rsid w:val="6860298C"/>
    <w:rsid w:val="68AB4C28"/>
    <w:rsid w:val="68C31058"/>
    <w:rsid w:val="68C42938"/>
    <w:rsid w:val="692F51A9"/>
    <w:rsid w:val="69B96DDD"/>
    <w:rsid w:val="6A2E60C6"/>
    <w:rsid w:val="6A820A4C"/>
    <w:rsid w:val="6AEA599F"/>
    <w:rsid w:val="6B2F5EBA"/>
    <w:rsid w:val="6BDE2736"/>
    <w:rsid w:val="6C6F4534"/>
    <w:rsid w:val="6E664271"/>
    <w:rsid w:val="6F386377"/>
    <w:rsid w:val="6F9475B3"/>
    <w:rsid w:val="72005FE5"/>
    <w:rsid w:val="724C19BF"/>
    <w:rsid w:val="725D3684"/>
    <w:rsid w:val="72BD7A32"/>
    <w:rsid w:val="734B7749"/>
    <w:rsid w:val="739E5AB6"/>
    <w:rsid w:val="75696AA7"/>
    <w:rsid w:val="7614272B"/>
    <w:rsid w:val="76CC46E8"/>
    <w:rsid w:val="78F63C9E"/>
    <w:rsid w:val="7A102B3D"/>
    <w:rsid w:val="7A5C270A"/>
    <w:rsid w:val="7D63792D"/>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2.jpeg"/><Relationship Id="rId61" Type="http://schemas.openxmlformats.org/officeDocument/2006/relationships/image" Target="media/image21.png"/><Relationship Id="rId60" Type="http://schemas.openxmlformats.org/officeDocument/2006/relationships/image" Target="media/image20.png"/><Relationship Id="rId6" Type="http://schemas.openxmlformats.org/officeDocument/2006/relationships/footer" Target="footer2.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pn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jpe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39</Pages>
  <Words>2226</Words>
  <Characters>2757</Characters>
  <Lines>0</Lines>
  <Paragraphs>0</Paragraphs>
  <TotalTime>184</TotalTime>
  <ScaleCrop>false</ScaleCrop>
  <LinksUpToDate>false</LinksUpToDate>
  <CharactersWithSpaces>2891</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2026-02-11T11:26:10Z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AF9BEEC223ADA5D7D2F68B6903A1F7AD_43</vt:lpwstr>
  </property>
  <property fmtid="{D5CDD505-2E9C-101B-9397-08002B2CF9AE}" pid="4" name="KSOTemplateDocerSaveRecord">
    <vt:lpwstr>eyJoZGlkIjoiOTYwNGZiYWFmZDk0YWM2ZWVhN2M0YTFkOTA1ODdjMWEiLCJ1c2VySWQiOiI3MTU2MTUxODEifQ==</vt:lpwstr>
  </property>
</Properties>
</file>