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7A53C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center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-215900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-139065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C3B713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2"/>
                                <w:szCs w:val="21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2"/>
                                <w:szCs w:val="21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65pt;margin-top:-10.95pt;height:14.75pt;width:128.85pt;z-index:251662336;mso-width-relative:page;mso-height-relative:page;" fillcolor="#FFFFFF" filled="t" stroked="f" coordsize="21600,21600" o:gfxdata="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Hd8EPNcAAAAH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BC3B713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2"/>
                          <w:szCs w:val="21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2"/>
                          <w:szCs w:val="21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inline distT="0" distB="0" distL="114300" distR="114300">
                <wp:extent cx="3060065" cy="76200"/>
                <wp:effectExtent l="0" t="11430" r="6985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">
                <o:lock v:ext="edit" aspectratio="f"/>
                <v:shape id="_x0000_s1026" o:spid="_x0000_s1026" o:spt="100" style="position:absolute;left:24;top:18;height:20;width:6578;" filled="f" stroked="t" coordsize="6578,20" o:gfxdata="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M02j25AAAA2gAA&#10;AA8AAAAAAAAAAQAgAAAAIgAAAGRycy9kb3ducmV2LnhtbFBLAQIUABQAAAAIAIdO4kAzLwWeOwAA&#10;ADkAAAAQAAAAAAAAAAEAIAAAAAgBAABkcnMvc2hhcGV4bWwueG1sUEsFBgAAAAAGAAYAWwEAALID&#10;AAAAAA=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_x0000_s1026" o:spid="_x0000_s1026" o:spt="100" style="position:absolute;left:18;top:18;height:20;width:6590;" filled="f" stroked="t" coordsize="6590,20" o:gfxdata="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q57TugAAANoA&#10;AAAPAAAAAAAAAAEAIAAAACIAAABkcnMvZG93bnJldi54bWxQSwECFAAUAAAACACHTuJAMy8FnjsA&#10;AAA5AAAAEAAAAAAAAAABACAAAAAJAQAAZHJzL3NoYXBleG1sLnhtbFBLBQYAAAAABgAGAFsBAACz&#10;AwAAAAA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5D5EFD6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9514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PH溶解氧自清洁三合一变送器</w:t>
      </w:r>
      <w:bookmarkEnd w:id="0"/>
    </w:p>
    <w:p w14:paraId="7118F2DA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240" w:lineRule="auto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WE-T127使用说明书</w:t>
      </w:r>
    </w:p>
    <w:p w14:paraId="2569A1D4"/>
    <w:p w14:paraId="0B3CB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966470</wp:posOffset>
            </wp:positionH>
            <wp:positionV relativeFrom="paragraph">
              <wp:posOffset>29845</wp:posOffset>
            </wp:positionV>
            <wp:extent cx="1125855" cy="1656080"/>
            <wp:effectExtent l="0" t="0" r="17145" b="1270"/>
            <wp:wrapNone/>
            <wp:docPr id="17" name="图片 17" descr="C:/Users/shuttle/Desktop/产品图片/127-探头.png127-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shuttle/Desktop/产品图片/127-探头.png127-探头"/>
                    <pic:cNvPicPr>
                      <a:picLocks noChangeAspect="1"/>
                    </pic:cNvPicPr>
                  </pic:nvPicPr>
                  <pic:blipFill>
                    <a:blip r:embed="rId40"/>
                    <a:srcRect l="4429" r="4429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359CC3"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4FE58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3360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6C4FE58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6BEC2680">
      <w:pPr>
        <w:spacing w:line="240" w:lineRule="auto"/>
      </w:pPr>
    </w:p>
    <w:p w14:paraId="0C488A8D"/>
    <w:p w14:paraId="05CEBB07"/>
    <w:p w14:paraId="432C1F5E"/>
    <w:p w14:paraId="7F9A758E"/>
    <w:p w14:paraId="67549EAB"/>
    <w:p w14:paraId="2092DD43"/>
    <w:p w14:paraId="2CE54509">
      <w:pPr>
        <w:ind w:left="0" w:leftChars="0" w:firstLine="0" w:firstLineChars="0"/>
      </w:pPr>
    </w:p>
    <w:p w14:paraId="5C321B85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661670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F0A02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center"/>
                              <w:textAlignment w:val="auto"/>
                              <w:rPr>
                                <w:rFonts w:hint="eastAsia" w:ascii="Arial" w:hAnsi="Arial" w:eastAsia="宋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T127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2.65pt;margin-top:52.1pt;height:21.65pt;width:234.8pt;z-index:251664384;mso-width-relative:page;mso-height-relative:page;" fillcolor="#FFFFFF" filled="t" stroked="f" coordsize="21600,21600" o:gfxdata="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1O5YbYAAAACQEAAA8AAAAAAAAAAQAg&#10;AAAAIgAAAGRycy9kb3ducmV2LnhtbFBLAQIUABQAAAAIAIdO4kAUy9dZ1QEAAKMDAAAOAAAAAAAA&#10;AAEAIAAAACc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67F0A02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center"/>
                        <w:textAlignment w:val="auto"/>
                        <w:rPr>
                          <w:rFonts w:hint="eastAsia" w:ascii="Arial" w:hAnsi="Arial" w:eastAsia="宋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  <w:highlight w:val="none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T127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3B94329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  <w:sectPr>
          <w:footerReference r:id="rId6" w:type="first"/>
          <w:footerReference r:id="rId5" w:type="default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</w:p>
    <w:p w14:paraId="2F026842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5581"/>
      <w:bookmarkStart w:id="2" w:name="_Toc2326"/>
      <w:bookmarkStart w:id="3" w:name="_Toc12294"/>
      <w:bookmarkStart w:id="4" w:name="_Toc2551"/>
      <w:bookmarkStart w:id="5" w:name="_Toc21437"/>
      <w:bookmarkStart w:id="6" w:name="_Toc17569"/>
      <w:bookmarkStart w:id="7" w:name="_Toc29143"/>
      <w:bookmarkStart w:id="8" w:name="_Toc41996141"/>
      <w:bookmarkStart w:id="9" w:name="_Toc7823"/>
      <w:bookmarkStart w:id="10" w:name="_Toc17598"/>
      <w:bookmarkStart w:id="11" w:name="_Toc26903"/>
      <w:bookmarkStart w:id="12" w:name="_Toc7640"/>
      <w:bookmarkStart w:id="13" w:name="_Toc5895"/>
      <w:bookmarkStart w:id="14" w:name="_Toc7003"/>
      <w:bookmarkStart w:id="15" w:name="_Toc11653"/>
      <w:bookmarkStart w:id="16" w:name="_Toc15930"/>
      <w:bookmarkStart w:id="17" w:name="_Toc30858"/>
      <w:bookmarkStart w:id="18" w:name="_Toc12915"/>
      <w:bookmarkStart w:id="19" w:name="_Toc18067"/>
      <w:bookmarkStart w:id="20" w:name="_Toc29297"/>
      <w:bookmarkStart w:id="21" w:name="_Toc20964"/>
      <w:bookmarkStart w:id="22" w:name="_Toc28135"/>
      <w:bookmarkStart w:id="23" w:name="_Toc30832"/>
      <w:bookmarkStart w:id="24" w:name="_Toc4151"/>
      <w:bookmarkStart w:id="25" w:name="_Toc10628"/>
      <w:bookmarkStart w:id="26" w:name="_Toc29042"/>
      <w:bookmarkStart w:id="27" w:name="_Toc3490"/>
      <w:bookmarkStart w:id="28" w:name="_Toc22939"/>
      <w:bookmarkStart w:id="29" w:name="_Toc1699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6126D0D6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1987A08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8036"/>
      <w:bookmarkStart w:id="31" w:name="_Toc17441"/>
      <w:bookmarkStart w:id="32" w:name="_Toc2799"/>
      <w:bookmarkStart w:id="33" w:name="_Toc1089"/>
      <w:bookmarkStart w:id="34" w:name="_Toc23414"/>
      <w:bookmarkStart w:id="35" w:name="_Toc9267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33BFAFEA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4AA5B8CC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3613"/>
      <w:bookmarkStart w:id="37" w:name="_Toc27291"/>
      <w:bookmarkStart w:id="38" w:name="_Toc17414"/>
      <w:bookmarkStart w:id="39" w:name="_Toc30640"/>
      <w:bookmarkStart w:id="40" w:name="_Toc13604"/>
      <w:bookmarkStart w:id="41" w:name="_Toc27473"/>
      <w:bookmarkStart w:id="42" w:name="_Toc20946"/>
      <w:bookmarkStart w:id="43" w:name="_Toc25903"/>
      <w:bookmarkStart w:id="44" w:name="_Toc12883"/>
      <w:bookmarkStart w:id="45" w:name="_Toc41996142"/>
      <w:bookmarkStart w:id="46" w:name="_Toc29781"/>
      <w:bookmarkStart w:id="47" w:name="_Toc116"/>
      <w:bookmarkStart w:id="48" w:name="_Toc25155"/>
      <w:bookmarkStart w:id="49" w:name="_Toc7143"/>
      <w:bookmarkStart w:id="50" w:name="_Toc27948"/>
      <w:bookmarkStart w:id="51" w:name="_Toc6050"/>
      <w:bookmarkStart w:id="52" w:name="_Toc14195"/>
      <w:bookmarkStart w:id="53" w:name="_Toc30766"/>
      <w:bookmarkStart w:id="54" w:name="_Toc15493"/>
      <w:bookmarkStart w:id="55" w:name="_Toc8275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24FE89B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6181"/>
      <w:bookmarkStart w:id="57" w:name="_Toc41996143"/>
      <w:bookmarkStart w:id="58" w:name="_Toc9947"/>
      <w:bookmarkStart w:id="59" w:name="_Toc2253"/>
      <w:bookmarkStart w:id="60" w:name="_Toc32096"/>
      <w:bookmarkStart w:id="61" w:name="_Toc18559"/>
      <w:bookmarkStart w:id="62" w:name="_Toc24285"/>
      <w:bookmarkStart w:id="63" w:name="_Toc19503"/>
      <w:bookmarkStart w:id="64" w:name="_Toc29408"/>
      <w:bookmarkStart w:id="65" w:name="_Toc21225"/>
      <w:bookmarkStart w:id="66" w:name="_Toc8121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7F5B89CF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7494744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0A531F0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0F740DCB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24374"/>
      <w:bookmarkStart w:id="68" w:name="_Toc2697"/>
      <w:bookmarkStart w:id="69" w:name="_Toc23281"/>
      <w:bookmarkStart w:id="70" w:name="_Toc8382"/>
      <w:bookmarkStart w:id="71" w:name="_Toc5685"/>
      <w:bookmarkStart w:id="72" w:name="_Toc10100"/>
      <w:bookmarkStart w:id="73" w:name="_Toc22955"/>
      <w:bookmarkStart w:id="74" w:name="_Toc10737"/>
      <w:bookmarkStart w:id="75" w:name="_Toc17019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56459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</w:t>
      </w:r>
      <w:r>
        <w:rPr>
          <w:rFonts w:hint="eastAsia" w:ascii="Times New Roman" w:hAnsi="Times New Roman" w:eastAsia="宋体" w:cs="Times New Roman"/>
          <w:szCs w:val="18"/>
          <w:highlight w:val="none"/>
          <w:lang w:val="en-US" w:eastAsia="zh-CN"/>
        </w:rPr>
        <w:t>-</w:t>
      </w:r>
      <w:r>
        <w:rPr>
          <w:rFonts w:hint="eastAsia" w:cs="Times New Roman"/>
          <w:szCs w:val="18"/>
          <w:highlight w:val="none"/>
          <w:lang w:val="en-US" w:eastAsia="zh-CN"/>
        </w:rPr>
        <w:t>T127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cs="Times New Roman"/>
          <w:szCs w:val="18"/>
          <w:lang w:val="en-US" w:eastAsia="zh-CN"/>
        </w:rPr>
        <w:t>二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071E1311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0359"/>
      <w:bookmarkStart w:id="77" w:name="_Toc24243"/>
      <w:bookmarkStart w:id="78" w:name="_Toc7067"/>
      <w:bookmarkStart w:id="79" w:name="_Toc5554"/>
      <w:bookmarkStart w:id="80" w:name="_Toc28565"/>
      <w:bookmarkStart w:id="81" w:name="_Toc15579"/>
      <w:bookmarkStart w:id="82" w:name="_Toc27219"/>
      <w:bookmarkStart w:id="83" w:name="_Toc14420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783045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03F63B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471FC457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11493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88D2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862C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B81A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3843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备注</w:t>
            </w:r>
          </w:p>
        </w:tc>
      </w:tr>
      <w:tr w14:paraId="0AC5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5AD6E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1A84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PH溶解氧自清洁三合一变送器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19BB0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004A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00BC7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3B14F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01E4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64DF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C411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52AA3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3694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5393C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5A27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68FAC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3676F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65402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7DB36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2FD7D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48424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</w:tbl>
    <w:p w14:paraId="547C03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634D53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0E4B8E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4016C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3820D6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281D6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673EDC7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84" w:name="_Toc19467_WPSOffice_Level1"/>
          <w:bookmarkStart w:id="85" w:name="_Toc21763_WPSOffice_Level1"/>
          <w:bookmarkStart w:id="86" w:name="_Toc29456_WPSOffice_Level1"/>
          <w:r>
            <w:rPr>
              <w:rFonts w:ascii="宋体" w:hAnsi="宋体" w:eastAsia="宋体"/>
              <w:sz w:val="21"/>
            </w:rPr>
            <w:t>目录</w:t>
          </w:r>
        </w:p>
        <w:p w14:paraId="31BA388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_Toc9514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PH溶解氧自清洁三合一变送器</w:t>
          </w:r>
          <w:r>
            <w:tab/>
          </w:r>
          <w:r>
            <w:fldChar w:fldCharType="begin"/>
          </w:r>
          <w:r>
            <w:instrText xml:space="preserve"> PAGEREF _Toc9514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25252D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_Toc17569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_Toc17569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BC8A26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_Toc17414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_Toc17414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1A1D33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_Toc22955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_Toc22955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949951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_Toc5554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_Toc5554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E7483D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_Toc364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38BE5C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_Toc23235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_Toc23235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F33C6F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_Toc17757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_Toc17757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6B4770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_Toc32032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_Toc32032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9EB4F1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_Toc7383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_Toc7383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C00BBB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_Toc8096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_Toc8096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309C5F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_Toc3245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_Toc3245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81A4E9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_Toc21435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/>
              <w:bCs/>
              <w:lang w:val="en-US" w:eastAsia="zh-CN"/>
            </w:rPr>
            <w:t>过程连接</w:t>
          </w:r>
          <w:r>
            <w:tab/>
          </w:r>
          <w:r>
            <w:fldChar w:fldCharType="begin"/>
          </w:r>
          <w:r>
            <w:instrText xml:space="preserve"> PAGEREF _Toc21435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E824CD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_Toc18594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3.3 </w:t>
          </w:r>
          <w:r>
            <w:rPr>
              <w:rFonts w:hint="eastAsia"/>
              <w:bCs/>
              <w:lang w:val="en-US" w:eastAsia="zh-CN"/>
            </w:rPr>
            <w:t>连接线缆</w:t>
          </w:r>
          <w:r>
            <w:tab/>
          </w:r>
          <w:r>
            <w:fldChar w:fldCharType="begin"/>
          </w:r>
          <w:r>
            <w:instrText xml:space="preserve"> PAGEREF _Toc18594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114675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_Toc28076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3.4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_Toc28076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DF58CE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_Toc3451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与使用</w:t>
          </w:r>
          <w:r>
            <w:tab/>
          </w:r>
          <w:r>
            <w:fldChar w:fldCharType="begin"/>
          </w:r>
          <w:r>
            <w:instrText xml:space="preserve"> PAGEREF _Toc3451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1DC39C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_Toc29366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_Toc29366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22616CF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_Toc24768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安装条件</w:t>
          </w:r>
          <w:r>
            <w:tab/>
          </w:r>
          <w:r>
            <w:fldChar w:fldCharType="begin"/>
          </w:r>
          <w:r>
            <w:instrText xml:space="preserve"> PAGEREF _Toc24768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E6737D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_Toc14946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highlight w:val="none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_Toc14946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CA8EBB6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_Toc2921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_Toc2921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E182E2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_Toc25338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使用和保养</w:t>
          </w:r>
          <w:r>
            <w:tab/>
          </w:r>
          <w:r>
            <w:fldChar w:fldCharType="begin"/>
          </w:r>
          <w:r>
            <w:instrText xml:space="preserve"> PAGEREF _Toc25338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BAB153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_Toc3849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_Toc3849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368B0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_Toc31369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_Toc31369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48A3B83B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_Toc4402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_Toc4402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C146A9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_Toc2342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设备上云</w:t>
          </w:r>
          <w:r>
            <w:tab/>
          </w:r>
          <w:r>
            <w:fldChar w:fldCharType="begin"/>
          </w:r>
          <w:r>
            <w:instrText xml:space="preserve"> PAGEREF _Toc2342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5FF745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_Toc22319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_Toc22319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3EB247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_Toc20057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_Toc20057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CCF5E0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_Toc31806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第六章 </w:t>
          </w:r>
          <w:r>
            <w:rPr>
              <w:rFonts w:hint="eastAsia" w:ascii="Times New Roman" w:hAnsi="Times New Roman" w:eastAsia="宋体"/>
              <w:lang w:val="en-US" w:eastAsia="zh-CN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_Toc31806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BAA56E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_Toc21204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第七章 </w:t>
          </w:r>
          <w:r>
            <w:rPr>
              <w:rFonts w:hint="eastAsia" w:ascii="Times New Roman" w:hAnsi="Times New Roman" w:eastAsia="宋体"/>
              <w:lang w:val="en-US" w:eastAsia="zh-CN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_Toc21204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031737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_Toc7923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 xml:space="preserve">附录 </w:t>
          </w:r>
          <w:r>
            <w:rPr>
              <w:rFonts w:hint="eastAsia" w:ascii="Times New Roman" w:hAnsi="Times New Roman" w:eastAsia="宋体"/>
              <w:lang w:val="en-US" w:eastAsia="zh-CN"/>
            </w:rPr>
            <w:t>选型与订货</w:t>
          </w:r>
          <w:r>
            <w:tab/>
          </w:r>
          <w:r>
            <w:fldChar w:fldCharType="begin"/>
          </w:r>
          <w:r>
            <w:instrText xml:space="preserve"> PAGEREF _Toc7923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394CA18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</w:rPr>
            <w:sectPr>
              <w:footerReference r:id="rId7" w:type="default"/>
              <w:pgSz w:w="5897" w:h="8335"/>
              <w:pgMar w:top="680" w:right="567" w:bottom="680" w:left="567" w:header="397" w:footer="397" w:gutter="0"/>
              <w:pgBorders>
                <w:top w:val="none" w:sz="0" w:space="0"/>
                <w:left w:val="none" w:sz="0" w:space="0"/>
                <w:bottom w:val="none" w:sz="0" w:space="0"/>
                <w:right w:val="none" w:sz="0" w:space="0"/>
              </w:pgBorders>
              <w:pgNumType w:fmt="decimal" w:start="1"/>
              <w:cols w:space="0" w:num="1"/>
              <w:docGrid w:type="lines" w:linePitch="349" w:charSpace="0"/>
            </w:sect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506E7FF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87" w:name="_Toc364"/>
      <w:r>
        <w:rPr>
          <w:rFonts w:hint="eastAsia" w:ascii="Times New Roman" w:hAnsi="Times New Roman" w:eastAsia="宋体"/>
          <w:b/>
          <w:sz w:val="21"/>
          <w:lang w:val="en-US" w:eastAsia="zh-CN"/>
        </w:rPr>
        <w:t>产品</w:t>
      </w:r>
      <w:bookmarkEnd w:id="84"/>
      <w:bookmarkEnd w:id="85"/>
      <w:bookmarkEnd w:id="86"/>
      <w:r>
        <w:rPr>
          <w:rFonts w:hint="eastAsia" w:ascii="Times New Roman" w:hAnsi="Times New Roman" w:eastAsia="宋体"/>
          <w:b/>
          <w:sz w:val="21"/>
          <w:lang w:val="en-US" w:eastAsia="zh-CN"/>
        </w:rPr>
        <w:t>概述</w:t>
      </w:r>
      <w:bookmarkEnd w:id="87"/>
    </w:p>
    <w:p w14:paraId="4B2EC7D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88" w:name="_Toc23235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88"/>
    </w:p>
    <w:p w14:paraId="1F7522C0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WE-T127</w:t>
      </w:r>
      <w:r>
        <w:rPr>
          <w:rFonts w:hint="eastAsia"/>
          <w:lang w:val="en-US" w:eastAsia="zh-CN"/>
        </w:rPr>
        <w:t>是一款监测</w:t>
      </w:r>
      <w:r>
        <w:rPr>
          <w:rFonts w:hint="default"/>
          <w:lang w:val="en-US" w:eastAsia="zh-CN"/>
        </w:rPr>
        <w:t>PH</w:t>
      </w:r>
      <w:r>
        <w:rPr>
          <w:rFonts w:hint="eastAsia"/>
          <w:lang w:val="en-US" w:eastAsia="zh-CN"/>
        </w:rPr>
        <w:t>、溶解氧且可以自清洁的三合一变送器，其传输方式涵盖LoRa、4G、NB-IoT多种途径，供电方式涵盖电池供电与DC</w:t>
      </w:r>
      <w:r>
        <w:rPr>
          <w:rFonts w:hint="default"/>
          <w:lang w:val="en-US" w:eastAsia="zh-CN"/>
        </w:rPr>
        <w:t>24V</w:t>
      </w:r>
      <w:r>
        <w:rPr>
          <w:rFonts w:hint="eastAsia"/>
          <w:lang w:val="en-US" w:eastAsia="zh-CN"/>
        </w:rPr>
        <w:t>供电。该变送器采用高稳定性的数字传感器实现现场液体</w:t>
      </w:r>
      <w:r>
        <w:rPr>
          <w:rFonts w:hint="default"/>
          <w:lang w:val="en-US" w:eastAsia="zh-CN"/>
        </w:rPr>
        <w:t>PH</w:t>
      </w:r>
      <w:r>
        <w:rPr>
          <w:rFonts w:hint="eastAsia"/>
          <w:lang w:val="en-US" w:eastAsia="zh-CN"/>
        </w:rPr>
        <w:t>、溶解氧值的精准实时监测与科学计算。配备传感器自清洁装置，可以有效清除传感器表面沾污与附着的微生物，维护便利，更省心。</w:t>
      </w:r>
    </w:p>
    <w:p w14:paraId="603CFC0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变送器通过</w:t>
      </w:r>
      <w:r>
        <w:rPr>
          <w:rFonts w:hint="default"/>
          <w:lang w:val="en-US" w:eastAsia="zh-CN"/>
        </w:rPr>
        <w:t>LoRa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4G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NB</w:t>
      </w:r>
      <w:r>
        <w:rPr>
          <w:rFonts w:hint="eastAsia"/>
          <w:lang w:val="en-US" w:eastAsia="zh-CN"/>
        </w:rPr>
        <w:t>等通讯技术，实现了数据的远距离传输。结合世电科技的工业边缘计算网关产品，数据得以顺利上传至世电科技设备管理平台，从而确保了对现场液体</w:t>
      </w:r>
      <w:r>
        <w:rPr>
          <w:rFonts w:hint="default"/>
          <w:lang w:val="en-US" w:eastAsia="zh-CN"/>
        </w:rPr>
        <w:t>PH</w:t>
      </w:r>
      <w:r>
        <w:rPr>
          <w:rFonts w:hint="eastAsia"/>
          <w:lang w:val="en-US" w:eastAsia="zh-CN"/>
        </w:rPr>
        <w:t>、溶解氧值的实时采集、精确分析计算、安全存储及直观展示，为相关工作提供了坚实的技术支撑和数据保障。</w:t>
      </w:r>
    </w:p>
    <w:p w14:paraId="03924BF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/>
          <w:sz w:val="20"/>
          <w:lang w:val="en-US" w:eastAsia="zh-CN"/>
        </w:rPr>
      </w:pPr>
      <w:r>
        <w:rPr>
          <w:rFonts w:hint="eastAsia"/>
          <w:lang w:val="en-US" w:eastAsia="zh-CN"/>
        </w:rPr>
        <w:t>变送器本体与探头分体式设计，可用于环境水质监测、水产养殖、酿造、酸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碱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盐溶液、化学反应过程中、工业生产过程中，能够满足大多数工业应用对在线</w:t>
      </w:r>
      <w:r>
        <w:rPr>
          <w:rFonts w:hint="default"/>
          <w:lang w:val="en-US" w:eastAsia="zh-CN"/>
        </w:rPr>
        <w:t>pH</w:t>
      </w:r>
      <w:r>
        <w:rPr>
          <w:rFonts w:hint="eastAsia"/>
          <w:lang w:val="en-US" w:eastAsia="zh-CN"/>
        </w:rPr>
        <w:t>、溶解氧测量的要求。</w:t>
      </w:r>
    </w:p>
    <w:p w14:paraId="3D1DFF3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eastAsia" w:ascii="Times New Roman" w:hAnsi="Times New Roman" w:eastAsia="宋体"/>
          <w:sz w:val="20"/>
          <w:lang w:val="en-US" w:eastAsia="zh-CN"/>
        </w:rPr>
      </w:pPr>
      <w:bookmarkStart w:id="89" w:name="_Toc17757"/>
      <w:bookmarkStart w:id="90" w:name="_Toc25397_WPSOffice_Level2"/>
      <w:bookmarkStart w:id="91" w:name="_Toc31468_WPSOffice_Level2"/>
      <w:bookmarkStart w:id="92" w:name="_Toc897_WPSOffice_Level2"/>
      <w:bookmarkStart w:id="93" w:name="_Toc20995_WPSOffice_Level2"/>
      <w:bookmarkStart w:id="94" w:name="_Toc26576_WPSOffice_Level2"/>
      <w:bookmarkStart w:id="95" w:name="_Toc24924_WPSOffice_Level2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89"/>
    </w:p>
    <w:p w14:paraId="0CA2FF5E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变送器中</w:t>
      </w:r>
      <w:r>
        <w:rPr>
          <w:rFonts w:hint="eastAsia"/>
          <w:highlight w:val="none"/>
          <w:lang w:val="en-US" w:eastAsia="zh-CN"/>
        </w:rPr>
        <w:t>PH传感器，测量原理是基于玻璃电极法。玻璃电极通过其特制薄膜对溶液中氢离子活度产生响应，当该薄膜内外两侧接触氢离子浓度不同的溶液时，膜表面会发生离子交换反应，产生膜电位。这个电位与溶液中的氢离子活度遵循能斯特方程的理论关系，即溶液每变化一个pH单位，电极系统就会产生约59毫伏（25°C时）的电位差。通过测量这个电位差并与已知参比电极比较，即可精确确定溶液的pH值</w:t>
      </w:r>
      <w:r>
        <w:rPr>
          <w:rFonts w:hint="eastAsia"/>
          <w:lang w:val="en-US" w:eastAsia="zh-CN"/>
        </w:rPr>
        <w:t>。</w:t>
      </w:r>
    </w:p>
    <w:p w14:paraId="7C98760D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变送器中溶解氧传感器采</w:t>
      </w:r>
      <w:r>
        <w:rPr>
          <w:rFonts w:hint="eastAsia"/>
          <w:highlight w:val="none"/>
          <w:lang w:val="en-US" w:eastAsia="zh-CN"/>
        </w:rPr>
        <w:t>用荧光法，测量原理是基于物理学中特定物质对激发荧光的猝灭原理。当激发光照射在荧光膜头表面的荧光物质上，荧光物质受到激发，发出荧光，荧 光的熄灭时间受荧光膜头表面氧分子浓度的影响。可以通过检测荧光与激发光之间的相位差，并与内部标定曲线比对，从而计算出氧分子的浓度，经过温度和盐度补偿输出最终值</w:t>
      </w:r>
      <w:r>
        <w:rPr>
          <w:rFonts w:hint="eastAsia"/>
          <w:lang w:val="en-US" w:eastAsia="zh-CN"/>
        </w:rPr>
        <w:t>。</w:t>
      </w:r>
    </w:p>
    <w:p w14:paraId="0E82FFED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PH溶解氧自清洁变送器由1个PH传感器、1个溶解氧传感器、1个自清洁电刷和一个变送器组成，通过电缆连接。当传感器采集到现场溶液的PH、溶解氧值后通过电缆传输至变送器。</w:t>
      </w:r>
    </w:p>
    <w:p w14:paraId="11108FF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default"/>
          <w:b/>
          <w:bCs/>
          <w:lang w:val="en-US" w:eastAsia="zh-CN"/>
        </w:rPr>
      </w:pPr>
      <w:bookmarkStart w:id="96" w:name="_Toc32032"/>
      <w:r>
        <w:rPr>
          <w:rFonts w:hint="eastAsia"/>
          <w:b/>
          <w:bCs/>
          <w:lang w:val="en-US" w:eastAsia="zh-CN"/>
        </w:rPr>
        <w:t>产品特点</w:t>
      </w:r>
      <w:bookmarkEnd w:id="96"/>
    </w:p>
    <w:p w14:paraId="39FB0F6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bookmarkStart w:id="97" w:name="_Toc5059_WPSOffice_Level2"/>
      <w:bookmarkStart w:id="98" w:name="_Toc21411_WPSOffice_Level2"/>
      <w:r>
        <w:rPr>
          <w:rFonts w:hint="eastAsia" w:cs="Times New Roman"/>
          <w:szCs w:val="18"/>
          <w:lang w:val="en-US" w:eastAsia="zh-CN"/>
        </w:rPr>
        <w:t>手机APP可随时随地监控仪表。</w:t>
      </w:r>
    </w:p>
    <w:p w14:paraId="0E2F5E9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3种通信方式选择。</w:t>
      </w:r>
    </w:p>
    <w:p w14:paraId="501601D0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1126858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工作温度范</w:t>
      </w:r>
      <w:r>
        <w:rPr>
          <w:rFonts w:hint="eastAsia" w:cs="Times New Roman"/>
          <w:szCs w:val="18"/>
          <w:highlight w:val="none"/>
          <w:lang w:val="en-US" w:eastAsia="zh-CN"/>
        </w:rPr>
        <w:t>围（-20~70）℃。</w:t>
      </w:r>
    </w:p>
    <w:p w14:paraId="022EE04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全密封防水设计，防护等级</w:t>
      </w:r>
      <w:r>
        <w:rPr>
          <w:rFonts w:hint="eastAsia" w:cs="Times New Roman"/>
          <w:szCs w:val="18"/>
          <w:highlight w:val="none"/>
          <w:lang w:val="en-US" w:eastAsia="zh-CN"/>
        </w:rPr>
        <w:t>IP67。</w:t>
      </w:r>
    </w:p>
    <w:p w14:paraId="0EAC468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高增益天线，多重校验机制，确保永远在线。</w:t>
      </w:r>
    </w:p>
    <w:p w14:paraId="04AB313E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 xml:space="preserve">支持高清晰度 LCD 显示屏，配合 </w:t>
      </w:r>
      <w:r>
        <w:rPr>
          <w:rFonts w:hint="default" w:cs="Times New Roman"/>
          <w:szCs w:val="18"/>
          <w:lang w:val="en-US" w:eastAsia="zh-CN"/>
        </w:rPr>
        <w:t xml:space="preserve">LED </w:t>
      </w:r>
      <w:r>
        <w:rPr>
          <w:rFonts w:hint="eastAsia" w:cs="Times New Roman"/>
          <w:szCs w:val="18"/>
          <w:lang w:val="en-US" w:eastAsia="zh-CN"/>
        </w:rPr>
        <w:t>指示灯与按键，可以现场实时查看液位值、报警信息、电量提示等。</w:t>
      </w:r>
    </w:p>
    <w:p w14:paraId="16E7F0E1">
      <w:pPr>
        <w:bidi w:val="0"/>
        <w:rPr>
          <w:rFonts w:hint="eastAsia" w:ascii="Times New Roman" w:hAnsi="Times New Roman" w:eastAsia="宋体"/>
          <w:lang w:val="en-US" w:eastAsia="zh-CN"/>
        </w:rPr>
      </w:pPr>
    </w:p>
    <w:p w14:paraId="33F05975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0" w:type="first"/>
          <w:footerReference r:id="rId13" w:type="first"/>
          <w:headerReference r:id="rId8" w:type="default"/>
          <w:footerReference r:id="rId11" w:type="default"/>
          <w:headerReference r:id="rId9" w:type="even"/>
          <w:footerReference r:id="rId1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645DE248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68ED3A0E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9" w:name="_Toc7383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99"/>
    </w:p>
    <w:p w14:paraId="3A7EE8DF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3724"/>
      </w:tblGrid>
      <w:tr w14:paraId="2DB43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35DB8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输入</w:t>
            </w:r>
          </w:p>
        </w:tc>
      </w:tr>
      <w:tr w14:paraId="5B564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260" w:type="pct"/>
            <w:vAlign w:val="center"/>
          </w:tcPr>
          <w:p w14:paraId="5D758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测量变量</w:t>
            </w:r>
          </w:p>
        </w:tc>
        <w:tc>
          <w:tcPr>
            <w:tcW w:w="3739" w:type="pct"/>
            <w:vAlign w:val="center"/>
          </w:tcPr>
          <w:p w14:paraId="1FB42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  <w:t>PH、溶解氧</w:t>
            </w:r>
          </w:p>
        </w:tc>
      </w:tr>
      <w:tr w14:paraId="56548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31ED7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测量范围</w:t>
            </w:r>
          </w:p>
        </w:tc>
        <w:tc>
          <w:tcPr>
            <w:tcW w:w="3739" w:type="pct"/>
            <w:vAlign w:val="center"/>
          </w:tcPr>
          <w:p w14:paraId="3B7C2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PH：0~14</w:t>
            </w:r>
          </w:p>
          <w:p w14:paraId="66DEA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溶解氧：0~20.00mg/L（0~200%饱和度，25℃）</w:t>
            </w:r>
          </w:p>
        </w:tc>
      </w:tr>
      <w:tr w14:paraId="77416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12D98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性能参数</w:t>
            </w:r>
          </w:p>
        </w:tc>
      </w:tr>
      <w:tr w14:paraId="3015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260" w:type="pct"/>
            <w:vAlign w:val="center"/>
          </w:tcPr>
          <w:p w14:paraId="06D2D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3739" w:type="pct"/>
            <w:vAlign w:val="center"/>
          </w:tcPr>
          <w:p w14:paraId="6D944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PH：±0.1</w:t>
            </w:r>
          </w:p>
          <w:p w14:paraId="1D5A9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溶解氧：±2%</w:t>
            </w:r>
          </w:p>
        </w:tc>
      </w:tr>
      <w:tr w14:paraId="2A5B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2CEBB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分辨率</w:t>
            </w:r>
          </w:p>
        </w:tc>
        <w:tc>
          <w:tcPr>
            <w:tcW w:w="3739" w:type="pct"/>
            <w:vAlign w:val="center"/>
          </w:tcPr>
          <w:p w14:paraId="7E84F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0.01</w:t>
            </w:r>
          </w:p>
        </w:tc>
      </w:tr>
      <w:tr w14:paraId="527D3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31BEB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溶解氧荧光模头寿命</w:t>
            </w:r>
          </w:p>
        </w:tc>
        <w:tc>
          <w:tcPr>
            <w:tcW w:w="3739" w:type="pct"/>
            <w:vAlign w:val="center"/>
          </w:tcPr>
          <w:p w14:paraId="0E2FB8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1年（正常使用下）</w:t>
            </w:r>
          </w:p>
        </w:tc>
      </w:tr>
      <w:tr w14:paraId="1200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Merge w:val="restart"/>
            <w:vAlign w:val="center"/>
          </w:tcPr>
          <w:p w14:paraId="64C8E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信号传输</w:t>
            </w:r>
          </w:p>
        </w:tc>
        <w:tc>
          <w:tcPr>
            <w:tcW w:w="3739" w:type="pct"/>
            <w:vAlign w:val="center"/>
          </w:tcPr>
          <w:p w14:paraId="1001A9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LoRa网络通讯</w:t>
            </w:r>
          </w:p>
          <w:p w14:paraId="2B56C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支持410.125~490.125MHz频段</w:t>
            </w:r>
          </w:p>
          <w:p w14:paraId="68F39B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最大22dbm发射功率，最大-147dbm接收灵敏度，空旷视距5KM信号覆盖能力</w:t>
            </w:r>
          </w:p>
        </w:tc>
      </w:tr>
      <w:tr w14:paraId="3D922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Merge w:val="continue"/>
            <w:vAlign w:val="center"/>
          </w:tcPr>
          <w:p w14:paraId="574AE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739" w:type="pct"/>
            <w:vAlign w:val="center"/>
          </w:tcPr>
          <w:p w14:paraId="27C0A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4G网络通讯，三年流量（100M/月）</w:t>
            </w:r>
          </w:p>
          <w:p w14:paraId="5842B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支持MQTT、HTTP、WES云服务协议</w:t>
            </w:r>
          </w:p>
          <w:p w14:paraId="0784B9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FDD B1/3/5/8</w:t>
            </w:r>
          </w:p>
          <w:p w14:paraId="024503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 B34/38/39/40/41（全频段）</w:t>
            </w:r>
          </w:p>
          <w:p w14:paraId="290B7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速率(Mbps)  LTE FDD：10.3(DL)/5.1(UL)</w:t>
            </w:r>
          </w:p>
          <w:p w14:paraId="6DA18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TDD：9.1(DL)/3.1(UL)</w:t>
            </w:r>
          </w:p>
        </w:tc>
      </w:tr>
      <w:tr w14:paraId="1D78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260" w:type="pct"/>
            <w:vMerge w:val="continue"/>
            <w:vAlign w:val="center"/>
          </w:tcPr>
          <w:p w14:paraId="2C3E2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3739" w:type="pct"/>
            <w:vAlign w:val="center"/>
          </w:tcPr>
          <w:p w14:paraId="370451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NB网络通讯，五年流量（300M/年）</w:t>
            </w:r>
          </w:p>
          <w:p w14:paraId="74F06F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LTE Cat NB2：B3/B5/B8</w:t>
            </w:r>
          </w:p>
          <w:p w14:paraId="5239C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速率(kbps)：Single-Tone：25.5(DL)/16.7(UL)</w:t>
            </w:r>
          </w:p>
          <w:p w14:paraId="797487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Multi-Tpne：127(DL)/158.5(UL)</w:t>
            </w:r>
          </w:p>
        </w:tc>
      </w:tr>
      <w:tr w14:paraId="73FD7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60" w:type="pct"/>
            <w:vAlign w:val="center"/>
          </w:tcPr>
          <w:p w14:paraId="7707C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采样周期</w:t>
            </w:r>
          </w:p>
        </w:tc>
        <w:tc>
          <w:tcPr>
            <w:tcW w:w="3739" w:type="pct"/>
            <w:vAlign w:val="center"/>
          </w:tcPr>
          <w:p w14:paraId="5BA6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1min~</w:t>
            </w:r>
            <w:r>
              <w:rPr>
                <w:rFonts w:hint="eastAsia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/>
                <w:highlight w:val="none"/>
                <w:lang w:val="en-US" w:eastAsia="zh-CN"/>
              </w:rPr>
              <w:t>小时可设定</w:t>
            </w:r>
          </w:p>
        </w:tc>
      </w:tr>
      <w:tr w14:paraId="050D8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260" w:type="pct"/>
            <w:vAlign w:val="center"/>
          </w:tcPr>
          <w:p w14:paraId="258E0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上报周期</w:t>
            </w:r>
          </w:p>
        </w:tc>
        <w:tc>
          <w:tcPr>
            <w:tcW w:w="3739" w:type="pct"/>
            <w:vAlign w:val="center"/>
          </w:tcPr>
          <w:p w14:paraId="1FFD7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1min~</w:t>
            </w:r>
            <w:r>
              <w:rPr>
                <w:rFonts w:hint="eastAsia"/>
                <w:highlight w:val="none"/>
                <w:lang w:val="en-US" w:eastAsia="zh"/>
                <w:woUserID w:val="1"/>
              </w:rPr>
              <w:t>18</w:t>
            </w:r>
            <w:r>
              <w:rPr>
                <w:rFonts w:hint="eastAsia"/>
                <w:highlight w:val="none"/>
                <w:lang w:val="en-US" w:eastAsia="zh-CN"/>
              </w:rPr>
              <w:t>小时可设定</w:t>
            </w:r>
          </w:p>
        </w:tc>
      </w:tr>
      <w:tr w14:paraId="4B0DC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6ECE0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电气规格</w:t>
            </w:r>
          </w:p>
        </w:tc>
      </w:tr>
      <w:tr w14:paraId="71FDA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60" w:type="pct"/>
            <w:vAlign w:val="center"/>
          </w:tcPr>
          <w:p w14:paraId="2D62B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供电电源</w:t>
            </w:r>
          </w:p>
        </w:tc>
        <w:tc>
          <w:tcPr>
            <w:tcW w:w="3739" w:type="pct"/>
            <w:vAlign w:val="center"/>
          </w:tcPr>
          <w:p w14:paraId="5473BB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19000mAh，锂电池</w:t>
            </w:r>
          </w:p>
          <w:p w14:paraId="16FC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9~30DC，典型24V</w:t>
            </w:r>
          </w:p>
        </w:tc>
      </w:tr>
      <w:tr w14:paraId="7233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260" w:type="pct"/>
            <w:vAlign w:val="center"/>
          </w:tcPr>
          <w:p w14:paraId="3294A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电池寿命</w:t>
            </w:r>
          </w:p>
        </w:tc>
        <w:tc>
          <w:tcPr>
            <w:tcW w:w="3739" w:type="pct"/>
            <w:vAlign w:val="center"/>
          </w:tcPr>
          <w:p w14:paraId="3657E7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以具体使用工况和上报周期为准。</w:t>
            </w:r>
          </w:p>
          <w:p w14:paraId="0B79C1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  <w:woUserID w:val="2"/>
              </w:rPr>
            </w:pPr>
            <w:bookmarkStart w:id="136" w:name="_GoBack"/>
            <w:r>
              <w:rPr>
                <w:rFonts w:hint="eastAsia"/>
                <w:highlight w:val="none"/>
                <w:lang w:val="en-US" w:eastAsia="zh-CN"/>
                <w:woUserID w:val="2"/>
              </w:rPr>
              <w:t>典型值</w:t>
            </w:r>
          </w:p>
          <w:bookmarkEnd w:id="136"/>
          <w:p w14:paraId="62162E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LoRa：8~10年@1次/1h</w:t>
            </w:r>
          </w:p>
          <w:p w14:paraId="5A5AC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NB：4~6年@1次/1h</w:t>
            </w:r>
          </w:p>
          <w:p w14:paraId="69194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4G：2~3年@1次/1h</w:t>
            </w:r>
          </w:p>
        </w:tc>
      </w:tr>
      <w:tr w14:paraId="5E43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top"/>
          </w:tcPr>
          <w:p w14:paraId="24EE5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环境条件</w:t>
            </w:r>
          </w:p>
        </w:tc>
      </w:tr>
      <w:tr w14:paraId="06A8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pct"/>
            <w:vAlign w:val="center"/>
          </w:tcPr>
          <w:p w14:paraId="32E42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工作环境</w:t>
            </w:r>
          </w:p>
        </w:tc>
        <w:tc>
          <w:tcPr>
            <w:tcW w:w="3739" w:type="pct"/>
            <w:vAlign w:val="center"/>
          </w:tcPr>
          <w:p w14:paraId="3CA896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变送器主机：</w:t>
            </w:r>
          </w:p>
          <w:p w14:paraId="136189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温度：（-20~70）℃，相对湿度：5%~95%</w:t>
            </w:r>
          </w:p>
          <w:p w14:paraId="63213A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变送器探头：</w:t>
            </w:r>
          </w:p>
          <w:p w14:paraId="02F24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温度：（0~50）℃，压力：≤0.2MPa</w:t>
            </w:r>
          </w:p>
        </w:tc>
      </w:tr>
      <w:tr w14:paraId="1AA6A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pct"/>
            <w:vAlign w:val="center"/>
          </w:tcPr>
          <w:p w14:paraId="01E9A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存储温度</w:t>
            </w:r>
          </w:p>
        </w:tc>
        <w:tc>
          <w:tcPr>
            <w:tcW w:w="3739" w:type="pct"/>
            <w:vAlign w:val="center"/>
          </w:tcPr>
          <w:p w14:paraId="24CC71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变送器主机：（-40~85）℃</w:t>
            </w:r>
          </w:p>
          <w:p w14:paraId="663586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变送器探头：（-5~65）℃</w:t>
            </w:r>
          </w:p>
        </w:tc>
      </w:tr>
      <w:tr w14:paraId="04AB4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pct"/>
            <w:vAlign w:val="center"/>
          </w:tcPr>
          <w:p w14:paraId="7EB34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防护等级</w:t>
            </w:r>
          </w:p>
        </w:tc>
        <w:tc>
          <w:tcPr>
            <w:tcW w:w="3739" w:type="pct"/>
            <w:vAlign w:val="center"/>
          </w:tcPr>
          <w:p w14:paraId="583442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变送器主机：IP67</w:t>
            </w:r>
          </w:p>
          <w:p w14:paraId="556D91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default" w:ascii="Times New Roman" w:hAnsi="Times New Roman" w:eastAsia="宋体" w:cstheme="minorBidi"/>
                <w:kern w:val="2"/>
                <w:sz w:val="18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变送器探头：IP68</w:t>
            </w:r>
          </w:p>
        </w:tc>
      </w:tr>
    </w:tbl>
    <w:p w14:paraId="55981733">
      <w:pPr>
        <w:spacing w:line="240" w:lineRule="exact"/>
        <w:ind w:firstLine="361"/>
        <w:rPr>
          <w:rFonts w:hint="eastAsia" w:ascii="Times New Roman" w:hAnsi="Times New Roman" w:eastAsia="宋体" w:cs="Times New Roman"/>
          <w:b/>
          <w:bCs/>
          <w:szCs w:val="18"/>
        </w:rPr>
        <w:sectPr>
          <w:headerReference r:id="rId16" w:type="first"/>
          <w:headerReference r:id="rId14" w:type="default"/>
          <w:headerReference r:id="rId15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bookmarkEnd w:id="90"/>
    <w:bookmarkEnd w:id="91"/>
    <w:bookmarkEnd w:id="92"/>
    <w:bookmarkEnd w:id="93"/>
    <w:bookmarkEnd w:id="94"/>
    <w:bookmarkEnd w:id="95"/>
    <w:bookmarkEnd w:id="97"/>
    <w:bookmarkEnd w:id="98"/>
    <w:p w14:paraId="7FB8BC35">
      <w:pPr>
        <w:rPr>
          <w:rFonts w:hint="eastAsia"/>
          <w:lang w:val="en-US" w:eastAsia="zh-CN"/>
        </w:rPr>
      </w:pPr>
      <w:bookmarkStart w:id="100" w:name="_Toc897_WPSOffice_Level1"/>
      <w:bookmarkStart w:id="101" w:name="_Toc26576_WPSOffice_Level1"/>
      <w:bookmarkStart w:id="102" w:name="_Toc5059_WPSOffice_Level1"/>
      <w:bookmarkStart w:id="103" w:name="_Toc23137"/>
      <w:r>
        <w:rPr>
          <w:rFonts w:hint="eastAsia"/>
          <w:lang w:val="en-US" w:eastAsia="zh-CN"/>
        </w:rPr>
        <w:br w:type="page"/>
      </w:r>
    </w:p>
    <w:p w14:paraId="7F12ECB8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4" w:name="_Toc8096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4"/>
    </w:p>
    <w:p w14:paraId="232FDDC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lang w:val="en-US" w:eastAsia="zh-CN"/>
        </w:rPr>
      </w:pPr>
      <w:bookmarkStart w:id="105" w:name="_Toc3245"/>
      <w:r>
        <w:rPr>
          <w:rFonts w:hint="eastAsia"/>
          <w:lang w:val="en-US" w:eastAsia="zh-CN"/>
        </w:rPr>
        <w:t>外形尺寸</w:t>
      </w:r>
      <w:bookmarkEnd w:id="105"/>
    </w:p>
    <w:p w14:paraId="4FE6D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57195" cy="2160270"/>
            <wp:effectExtent l="0" t="0" r="14605" b="11430"/>
            <wp:docPr id="2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57195" cy="21602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671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inline distT="0" distB="0" distL="114300" distR="114300">
            <wp:extent cx="2635250" cy="1259840"/>
            <wp:effectExtent l="0" t="0" r="12700" b="16510"/>
            <wp:docPr id="27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E98B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12B83DD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06" w:name="_Toc21435"/>
      <w:r>
        <w:rPr>
          <w:rFonts w:hint="eastAsia"/>
          <w:b/>
          <w:bCs/>
          <w:lang w:val="en-US" w:eastAsia="zh-CN"/>
        </w:rPr>
        <w:t>过程连接</w:t>
      </w:r>
      <w:bookmarkEnd w:id="106"/>
    </w:p>
    <w:p w14:paraId="600B98E5">
      <w:pPr>
        <w:pStyle w:val="24"/>
        <w:bidi w:val="0"/>
        <w:ind w:left="0" w:leftChars="0" w:firstLine="0" w:firstLineChars="0"/>
        <w:rPr>
          <w:rFonts w:hint="default"/>
          <w:sz w:val="18"/>
          <w:szCs w:val="32"/>
          <w:highlight w:val="none"/>
          <w:lang w:val="en-US" w:eastAsia="zh-CN"/>
        </w:rPr>
      </w:pPr>
      <w:r>
        <w:rPr>
          <w:rFonts w:hint="eastAsia"/>
          <w:sz w:val="18"/>
          <w:szCs w:val="32"/>
          <w:highlight w:val="none"/>
          <w:lang w:val="en-US" w:eastAsia="zh-CN"/>
        </w:rPr>
        <w:t>过程连接</w:t>
      </w:r>
    </w:p>
    <w:tbl>
      <w:tblPr>
        <w:tblStyle w:val="15"/>
        <w:tblW w:w="33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1672"/>
      </w:tblGrid>
      <w:tr w14:paraId="442CD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7" w:type="pct"/>
            <w:shd w:val="clear" w:color="auto" w:fill="D7D7D7" w:themeFill="background1" w:themeFillShade="D8"/>
            <w:noWrap w:val="0"/>
            <w:vAlign w:val="top"/>
          </w:tcPr>
          <w:p w14:paraId="7D4CB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螺纹类型</w:t>
            </w:r>
          </w:p>
        </w:tc>
        <w:tc>
          <w:tcPr>
            <w:tcW w:w="2532" w:type="pct"/>
            <w:shd w:val="clear" w:color="auto" w:fill="FFFFFF" w:themeFill="background1"/>
            <w:noWrap w:val="0"/>
            <w:vAlign w:val="top"/>
          </w:tcPr>
          <w:p w14:paraId="776B2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3/4NPT</w:t>
            </w:r>
          </w:p>
        </w:tc>
      </w:tr>
      <w:tr w14:paraId="19564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67" w:type="pct"/>
            <w:shd w:val="clear" w:color="auto" w:fill="D7D7D7" w:themeFill="background1" w:themeFillShade="D8"/>
            <w:noWrap w:val="0"/>
            <w:vAlign w:val="top"/>
          </w:tcPr>
          <w:p w14:paraId="50118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eastAsia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D（mm）</w:t>
            </w:r>
          </w:p>
        </w:tc>
        <w:tc>
          <w:tcPr>
            <w:tcW w:w="2532" w:type="pct"/>
            <w:noWrap w:val="0"/>
            <w:vAlign w:val="top"/>
          </w:tcPr>
          <w:p w14:paraId="3FE72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eastAsia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15mm</w:t>
            </w:r>
          </w:p>
        </w:tc>
      </w:tr>
    </w:tbl>
    <w:p w14:paraId="2E5E4F5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b/>
          <w:bCs/>
          <w:lang w:val="en-US" w:eastAsia="zh-CN"/>
        </w:rPr>
      </w:pPr>
      <w:bookmarkStart w:id="107" w:name="_Toc18594"/>
      <w:r>
        <w:rPr>
          <w:rFonts w:hint="eastAsia"/>
          <w:b/>
          <w:bCs/>
          <w:lang w:val="en-US" w:eastAsia="zh-CN"/>
        </w:rPr>
        <w:t>连接线缆</w:t>
      </w:r>
      <w:bookmarkEnd w:id="107"/>
    </w:p>
    <w:p w14:paraId="3F7F49B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线缆长度：5m，其他长度需定制。</w:t>
      </w:r>
    </w:p>
    <w:p w14:paraId="2BE585C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lang w:val="en-US" w:eastAsia="zh-CN"/>
        </w:rPr>
      </w:pPr>
      <w:bookmarkStart w:id="108" w:name="_Toc28076"/>
      <w:r>
        <w:rPr>
          <w:rFonts w:hint="eastAsia" w:ascii="Times New Roman" w:hAnsi="Times New Roman" w:eastAsia="宋体"/>
          <w:b/>
          <w:bCs/>
          <w:lang w:val="en-US" w:eastAsia="zh-CN"/>
        </w:rPr>
        <w:t>材质</w:t>
      </w:r>
      <w:bookmarkEnd w:id="108"/>
    </w:p>
    <w:p w14:paraId="2B4C0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主机外壳材质：ABS/PC</w:t>
      </w:r>
    </w:p>
    <w:p w14:paraId="5441A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PH探头外壳材质：ABS/PC合金</w:t>
      </w:r>
    </w:p>
    <w:p w14:paraId="748BE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溶解氧探头外壳材质：POM、ABS/PC合金、316L不锈钢</w:t>
      </w:r>
    </w:p>
    <w:p w14:paraId="7E3D8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0C35EA4D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</w:pPr>
    </w:p>
    <w:p w14:paraId="2BA8049A">
      <w:pPr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default"/>
          <w:headerReference r:id="rId1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DA0C4C9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40E69694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9" w:name="_Toc3451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0"/>
      <w:bookmarkEnd w:id="101"/>
      <w:bookmarkEnd w:id="102"/>
      <w:bookmarkEnd w:id="103"/>
      <w:bookmarkStart w:id="110" w:name="_Toc23325"/>
      <w:bookmarkStart w:id="111" w:name="_Toc5895_WPSOffice_Level2"/>
      <w:bookmarkStart w:id="112" w:name="_Toc8102_WPSOffice_Level2"/>
      <w:bookmarkStart w:id="113" w:name="_Toc2997_WPSOffice_Level2"/>
      <w:bookmarkStart w:id="114" w:name="_Toc19936"/>
      <w:r>
        <w:rPr>
          <w:rFonts w:hint="eastAsia"/>
          <w:b/>
          <w:sz w:val="21"/>
          <w:lang w:val="en-US" w:eastAsia="zh-CN"/>
        </w:rPr>
        <w:t>与使用</w:t>
      </w:r>
      <w:bookmarkEnd w:id="109"/>
    </w:p>
    <w:p w14:paraId="1A9A1B5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5" w:name="_Toc29366"/>
      <w:bookmarkStart w:id="116" w:name="_Toc29826"/>
      <w:bookmarkStart w:id="117" w:name="_Toc25939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15"/>
      <w:bookmarkEnd w:id="116"/>
      <w:bookmarkEnd w:id="117"/>
    </w:p>
    <w:p w14:paraId="13DB2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44EEDACB">
      <w:pPr>
        <w:pStyle w:val="3"/>
        <w:bidi w:val="0"/>
        <w:rPr>
          <w:rFonts w:hint="default"/>
          <w:lang w:val="en-US" w:eastAsia="zh-CN"/>
        </w:rPr>
      </w:pPr>
      <w:bookmarkStart w:id="118" w:name="_Toc24768"/>
      <w:bookmarkStart w:id="119" w:name="_Toc6877"/>
      <w:r>
        <w:rPr>
          <w:rFonts w:hint="eastAsia"/>
          <w:lang w:val="en-US" w:eastAsia="zh-CN"/>
        </w:rPr>
        <w:t>安装条件</w:t>
      </w:r>
      <w:bookmarkEnd w:id="118"/>
      <w:bookmarkEnd w:id="119"/>
    </w:p>
    <w:p w14:paraId="1EB2F932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/>
          <w:highlight w:val="none"/>
          <w:lang w:val="en-US" w:eastAsia="zh-CN"/>
        </w:rPr>
        <w:t>溶解氧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变送器安装时，</w:t>
      </w:r>
      <w:r>
        <w:rPr>
          <w:rFonts w:hint="eastAsia"/>
          <w:highlight w:val="none"/>
          <w:lang w:val="en-US" w:eastAsia="zh-CN"/>
        </w:rPr>
        <w:t>溶解氧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探头应浸入液面以下固定安装，不能倒置或水平安装，至少倾斜15度角以上安装，以获得最佳测量结果。</w:t>
      </w:r>
    </w:p>
    <w:p w14:paraId="5631926B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/>
          <w:highlight w:val="none"/>
          <w:lang w:val="en-US" w:eastAsia="zh-CN"/>
        </w:rPr>
        <w:t>溶解氧探头安装处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荧光膜头部分应避免被水底沉淀物附着。</w:t>
      </w:r>
    </w:p>
    <w:p w14:paraId="41D5A24C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应选择易于操作、维护的地方进行安装。</w:t>
      </w:r>
    </w:p>
    <w:p w14:paraId="6448E976">
      <w:pPr>
        <w:numPr>
          <w:ilvl w:val="0"/>
          <w:numId w:val="8"/>
        </w:numPr>
        <w:rPr>
          <w:rFonts w:hint="eastAsia" w:ascii="Times New Roman" w:hAnsi="Times New Roman" w:eastAsia="宋体"/>
          <w:highlight w:val="none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应尽量远离振动源</w:t>
      </w:r>
      <w:r>
        <w:rPr>
          <w:rFonts w:hint="eastAsia"/>
          <w:highlight w:val="none"/>
          <w:lang w:val="en-US" w:eastAsia="zh-CN"/>
        </w:rPr>
        <w:t>、热源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安装。</w:t>
      </w:r>
    </w:p>
    <w:p w14:paraId="1DA2969E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20" w:name="_Toc14946"/>
      <w:bookmarkStart w:id="121" w:name="_Toc13983"/>
      <w:bookmarkStart w:id="122" w:name="_Toc22767"/>
      <w:r>
        <w:rPr>
          <w:rFonts w:hint="eastAsia"/>
          <w:highlight w:val="none"/>
          <w:lang w:val="en-US" w:eastAsia="zh-CN"/>
        </w:rPr>
        <w:t>安装注意</w:t>
      </w:r>
      <w:bookmarkEnd w:id="120"/>
      <w:bookmarkEnd w:id="121"/>
      <w:bookmarkEnd w:id="122"/>
    </w:p>
    <w:p w14:paraId="41BFEB1E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确定工艺要求的测量范围与要安装的变送器量程一致。</w:t>
      </w:r>
    </w:p>
    <w:p w14:paraId="3C82FE6F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工艺安装的接头螺纹规格必须与产品配套。</w:t>
      </w:r>
    </w:p>
    <w:p w14:paraId="0BFDF3D9">
      <w:pPr>
        <w:numPr>
          <w:ilvl w:val="0"/>
          <w:numId w:val="9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安装和使用</w:t>
      </w:r>
      <w:r>
        <w:rPr>
          <w:rFonts w:hint="eastAsia"/>
          <w:highlight w:val="none"/>
          <w:lang w:val="en-US" w:eastAsia="zh-CN"/>
        </w:rPr>
        <w:t>溶解氧探头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时避免碰撞或刮蹭荧光膜头表面</w:t>
      </w:r>
      <w:r>
        <w:rPr>
          <w:rFonts w:hint="eastAsia"/>
          <w:highlight w:val="none"/>
          <w:lang w:val="en-US" w:eastAsia="zh-CN"/>
        </w:rPr>
        <w:t>，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避免荧光膜头的内表面被阳光暴晒</w:t>
      </w:r>
      <w:r>
        <w:rPr>
          <w:rFonts w:hint="eastAsia"/>
          <w:highlight w:val="none"/>
          <w:lang w:val="en-US" w:eastAsia="zh-CN"/>
        </w:rPr>
        <w:t>，请勿用手触摸荧光膜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。</w:t>
      </w:r>
    </w:p>
    <w:p w14:paraId="5CF8EE41">
      <w:pPr>
        <w:numPr>
          <w:ilvl w:val="0"/>
          <w:numId w:val="9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安装使用过程中应杜绝磨损、刺破、划伤导线。若现场存在以上问题，导线应采取保护措施。</w:t>
      </w:r>
    </w:p>
    <w:p w14:paraId="1A14B674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23" w:name="_Toc21119"/>
      <w:bookmarkStart w:id="124" w:name="_Toc2921"/>
      <w:r>
        <w:rPr>
          <w:rFonts w:hint="eastAsia"/>
          <w:highlight w:val="none"/>
          <w:lang w:val="en-US" w:eastAsia="zh-CN"/>
        </w:rPr>
        <w:t>安装示意</w:t>
      </w:r>
      <w:bookmarkEnd w:id="123"/>
      <w:bookmarkEnd w:id="124"/>
    </w:p>
    <w:p w14:paraId="2D80E6E9">
      <w:pPr>
        <w:ind w:left="0" w:leftChars="0" w:firstLine="0" w:firstLineChars="0"/>
        <w:jc w:val="center"/>
      </w:pPr>
      <w:r>
        <w:drawing>
          <wp:inline distT="0" distB="0" distL="114300" distR="114300">
            <wp:extent cx="2700020" cy="1800225"/>
            <wp:effectExtent l="0" t="0" r="5080" b="9525"/>
            <wp:docPr id="46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7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5CD1B">
      <w:pPr>
        <w:pStyle w:val="25"/>
        <w:shd w:val="clear" w:color="auto" w:fill="auto"/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变送器探头安装示意图</w:t>
      </w:r>
    </w:p>
    <w:p w14:paraId="47AF5BF4">
      <w:pPr>
        <w:ind w:left="0" w:leftChars="0" w:firstLine="0" w:firstLineChars="0"/>
        <w:jc w:val="center"/>
      </w:pPr>
    </w:p>
    <w:p w14:paraId="2767B685">
      <w:pPr>
        <w:ind w:left="0" w:leftChars="0" w:firstLine="0" w:firstLine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2712085" cy="1800225"/>
            <wp:effectExtent l="0" t="0" r="12065" b="9525"/>
            <wp:docPr id="4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1208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F22CC">
      <w:pPr>
        <w:pStyle w:val="25"/>
        <w:shd w:val="clear" w:color="auto" w:fill="auto"/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变送器探头安装示意图</w:t>
      </w:r>
    </w:p>
    <w:p w14:paraId="00CE2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2090420" cy="1188085"/>
            <wp:effectExtent l="0" t="0" r="5080" b="1206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AB247">
      <w:pPr>
        <w:pStyle w:val="25"/>
        <w:shd w:val="clear" w:color="auto" w:fill="auto"/>
        <w:bidi w:val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变送器主机安装示意图</w:t>
      </w:r>
    </w:p>
    <w:p w14:paraId="0827F88C">
      <w:pPr>
        <w:pStyle w:val="3"/>
        <w:tabs>
          <w:tab w:val="left" w:pos="420"/>
          <w:tab w:val="clear" w:pos="0"/>
        </w:tabs>
        <w:bidi w:val="0"/>
        <w:rPr>
          <w:rFonts w:hint="eastAsia" w:ascii="Times New Roman" w:hAnsi="Times New Roman" w:eastAsia="宋体"/>
          <w:highlight w:val="none"/>
          <w:lang w:val="en-US" w:eastAsia="zh-CN"/>
        </w:rPr>
      </w:pPr>
      <w:bookmarkStart w:id="125" w:name="_Toc25338"/>
      <w:r>
        <w:rPr>
          <w:rFonts w:hint="eastAsia"/>
          <w:highlight w:val="none"/>
          <w:lang w:val="en-US" w:eastAsia="zh-CN"/>
        </w:rPr>
        <w:t>使用和保养</w:t>
      </w:r>
      <w:bookmarkEnd w:id="125"/>
    </w:p>
    <w:p w14:paraId="14C10E88">
      <w:pPr>
        <w:ind w:left="0" w:leftChars="0" w:firstLine="0" w:firstLineChars="0"/>
        <w:rPr>
          <w:rFonts w:hint="default"/>
          <w:lang w:val="en-US" w:eastAsia="zh-CN"/>
        </w:rPr>
        <w:sectPr>
          <w:headerReference r:id="rId19" w:type="default"/>
          <w:footerReference r:id="rId21" w:type="default"/>
          <w:headerReference r:id="rId20" w:type="even"/>
          <w:footerReference r:id="rId22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89DD6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对于溶解氧探头：</w:t>
      </w:r>
    </w:p>
    <w:p w14:paraId="09251BE2">
      <w:pPr>
        <w:numPr>
          <w:ilvl w:val="0"/>
          <w:numId w:val="10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溶解氧探头实用的是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荧光法溶解氧膜头不会消耗氧，不需要频繁地进行清洗（除了应用于粘性液体中时）</w:t>
      </w:r>
      <w:r>
        <w:rPr>
          <w:rFonts w:hint="eastAsia"/>
          <w:highlight w:val="none"/>
          <w:lang w:val="en-US" w:eastAsia="zh-CN"/>
        </w:rPr>
        <w:t>，建议每30天检查一次传感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器探头和荧光膜头。荧光膜头的更换频率，建议每年一次</w:t>
      </w:r>
      <w:r>
        <w:rPr>
          <w:rFonts w:hint="eastAsia"/>
          <w:highlight w:val="none"/>
          <w:lang w:val="en-US" w:eastAsia="zh-CN"/>
        </w:rPr>
        <w:t>。</w:t>
      </w:r>
    </w:p>
    <w:p w14:paraId="27824782">
      <w:pPr>
        <w:numPr>
          <w:ilvl w:val="0"/>
          <w:numId w:val="1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荧光膜头表面：如果荧光膜头表面存在污垢，请用清水冲洗或用软布轻轻擦拭。清洁时注意力度，避免造成测量区域划伤而影响测量精度。</w:t>
      </w:r>
    </w:p>
    <w:p w14:paraId="24704D9B">
      <w:pPr>
        <w:numPr>
          <w:ilvl w:val="0"/>
          <w:numId w:val="1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荧光膜头内部：一般不需要清洁，如若有水汽或灰尘进入到了荧光膜头内部。则可以旋下荧光膜头，用清水冲洗荧光膜头的内表面和传感器光学窗口，对于含油污垢，可用家用洗涤液清洗。清洗干净后用干净的无绒布轻轻擦干水分并晾干，重新装上荧光膜头。</w:t>
      </w:r>
    </w:p>
    <w:p w14:paraId="3AC2F304">
      <w:pPr>
        <w:numPr>
          <w:ilvl w:val="0"/>
          <w:numId w:val="10"/>
        </w:num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传感器探头不使用时，应盖上内有湿海绵的橡胶保护套，使荧光膜头测量区域表面保持湿润状态。如传感器荧光膜头测量区域表面长期干燥，会产生测量误差或数据不稳定，需在水中浸泡48小时再使用。</w:t>
      </w:r>
    </w:p>
    <w:p w14:paraId="57C174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对于PH探头：</w:t>
      </w:r>
    </w:p>
    <w:p w14:paraId="3F47E159">
      <w:pPr>
        <w:numPr>
          <w:ilvl w:val="0"/>
          <w:numId w:val="11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pH传感器在测量时，应先在蒸馏水（或去离子水）中清洗干净，并用滤纸吸干水分， 防止杂质带进被测液中，传感器的1/3应插入被测溶液中。</w:t>
      </w:r>
    </w:p>
    <w:p w14:paraId="37F77533">
      <w:pPr>
        <w:numPr>
          <w:ilvl w:val="0"/>
          <w:numId w:val="11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传感器不用时应洗净，插入加有3mol/L氯化钾溶液的保护套，或将传感器插进加有 3mol/L 氯化钾溶液的容器中。</w:t>
      </w:r>
    </w:p>
    <w:p w14:paraId="54310184">
      <w:pPr>
        <w:numPr>
          <w:ilvl w:val="0"/>
          <w:numId w:val="11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传感器应避免长期浸 泡在蒸馏水或蛋白质溶液中，并防止与有机硅油脂接触。</w:t>
      </w:r>
    </w:p>
    <w:p w14:paraId="0AB5561F">
      <w:pPr>
        <w:numPr>
          <w:ilvl w:val="0"/>
          <w:numId w:val="11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使用时间较长的传感器，它的玻璃膜可能变成半透明或附有沉积物，此时可用稀盐酸洗涤，并用水冲洗</w:t>
      </w:r>
      <w:r>
        <w:rPr>
          <w:rFonts w:hint="eastAsia"/>
          <w:highlight w:val="none"/>
          <w:lang w:val="en-US" w:eastAsia="zh-CN"/>
        </w:rPr>
        <w:t>。</w:t>
      </w:r>
    </w:p>
    <w:p w14:paraId="795926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对于所有探头：</w:t>
      </w:r>
    </w:p>
    <w:p w14:paraId="3E9C7D15">
      <w:pPr>
        <w:numPr>
          <w:ilvl w:val="0"/>
          <w:numId w:val="12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传感器使用时间较长，出现测量误差时，须配合仪表进行标定，进行校正。</w:t>
      </w:r>
    </w:p>
    <w:p w14:paraId="63AA3EEB">
      <w:pPr>
        <w:numPr>
          <w:ilvl w:val="0"/>
          <w:numId w:val="12"/>
        </w:numPr>
        <w:rPr>
          <w:rFonts w:hint="eastAsia"/>
          <w:highlight w:val="none"/>
          <w:lang w:val="en-US" w:eastAsia="zh-CN"/>
        </w:rPr>
        <w:sectPr>
          <w:headerReference r:id="rId25" w:type="first"/>
          <w:headerReference r:id="rId23" w:type="default"/>
          <w:headerReference r:id="rId24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/>
          <w:highlight w:val="none"/>
          <w:lang w:val="en-US" w:eastAsia="zh-CN"/>
        </w:rPr>
        <w:t>当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用以上方式对传感器进行维护和保养时仍不能进行标定和测量时，说明传感器已经失效，请更换传感器</w:t>
      </w:r>
      <w:r>
        <w:rPr>
          <w:rFonts w:hint="eastAsia"/>
          <w:highlight w:val="none"/>
          <w:lang w:val="en-US" w:eastAsia="zh-CN"/>
        </w:rPr>
        <w:t>。</w:t>
      </w:r>
    </w:p>
    <w:bookmarkEnd w:id="110"/>
    <w:bookmarkEnd w:id="111"/>
    <w:bookmarkEnd w:id="112"/>
    <w:bookmarkEnd w:id="113"/>
    <w:bookmarkEnd w:id="114"/>
    <w:p w14:paraId="15E82F9F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26" w:name="_Toc3849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26"/>
    </w:p>
    <w:p w14:paraId="7ED8E20A">
      <w:pPr>
        <w:pStyle w:val="3"/>
        <w:bidi w:val="0"/>
        <w:rPr>
          <w:rFonts w:hint="default"/>
          <w:lang w:val="en-US" w:eastAsia="zh-CN"/>
        </w:rPr>
      </w:pPr>
      <w:bookmarkStart w:id="127" w:name="_Toc31369"/>
      <w:r>
        <w:rPr>
          <w:rFonts w:hint="eastAsia"/>
          <w:lang w:val="en-US" w:eastAsia="zh-CN"/>
        </w:rPr>
        <w:t>显示与操作单元</w:t>
      </w:r>
      <w:bookmarkEnd w:id="127"/>
    </w:p>
    <w:p w14:paraId="35C4B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5310" cy="3420110"/>
            <wp:effectExtent l="0" t="0" r="2540" b="889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704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51C20A55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4AB49C7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4287"/>
      </w:tblGrid>
      <w:tr w14:paraId="4E390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7B1BE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5CFE2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6CC4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E998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32942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0D04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506F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6B496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3EE06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45EF0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7A38E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37F94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5E07C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7B70E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088E3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619D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0789D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溶解氧测量单位</w:t>
            </w:r>
          </w:p>
        </w:tc>
      </w:tr>
      <w:tr w14:paraId="2CCFE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E09A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5011A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溶解氧测量值</w:t>
            </w:r>
          </w:p>
        </w:tc>
      </w:tr>
      <w:tr w14:paraId="3572A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0" w:type="pct"/>
            <w:noWrap w:val="0"/>
            <w:vAlign w:val="center"/>
          </w:tcPr>
          <w:p w14:paraId="273BD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3922F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4D16B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6FB03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45C3A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  <w:tr w14:paraId="652E0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5083D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09" w:type="pct"/>
            <w:noWrap w:val="0"/>
            <w:vAlign w:val="center"/>
          </w:tcPr>
          <w:p w14:paraId="51B5A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PH测量单位</w:t>
            </w:r>
          </w:p>
        </w:tc>
      </w:tr>
      <w:tr w14:paraId="5097B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3931B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4309" w:type="pct"/>
            <w:noWrap w:val="0"/>
            <w:vAlign w:val="center"/>
          </w:tcPr>
          <w:p w14:paraId="60FD6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PH测量值</w:t>
            </w:r>
          </w:p>
        </w:tc>
      </w:tr>
    </w:tbl>
    <w:p w14:paraId="4491438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442252EA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</w:t>
      </w:r>
      <w:r>
        <w:rPr>
          <w:lang w:val="en-US" w:eastAsia="zh-CN"/>
        </w:rPr>
        <w:t xml:space="preserve">。 </w:t>
      </w:r>
    </w:p>
    <w:p w14:paraId="2D066162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59B0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03825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65556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78A8C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0BDF7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0DA174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26B176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6DD7DA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6D0980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24E04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39F1E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7EFBA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203BF2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16C3B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3E61D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2C921F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3FF415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7F4AC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29BCB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96" w:type="pct"/>
            <w:noWrap w:val="0"/>
            <w:vAlign w:val="center"/>
          </w:tcPr>
          <w:p w14:paraId="2DE51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</w:tc>
      </w:tr>
    </w:tbl>
    <w:p w14:paraId="539F898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325443D9">
      <w:pPr>
        <w:bidi w:val="0"/>
      </w:pPr>
      <w:r>
        <w:rPr>
          <w:rFonts w:hint="default"/>
          <w:lang w:val="en-US" w:eastAsia="zh-CN"/>
        </w:rPr>
        <w:t>通</w:t>
      </w:r>
      <w:r>
        <w:rPr>
          <w:rFonts w:hint="eastAsia"/>
          <w:lang w:val="en-US" w:eastAsia="zh-CN"/>
        </w:rPr>
        <w:t>信</w:t>
      </w:r>
      <w:r>
        <w:rPr>
          <w:rFonts w:hint="default"/>
          <w:lang w:val="en-US" w:eastAsia="zh-CN"/>
        </w:rPr>
        <w:t xml:space="preserve">指示灯：绿色闪烁，表示通讯正常 </w:t>
      </w:r>
    </w:p>
    <w:p w14:paraId="6DC41F30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1875C1D2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7321CCF0">
      <w:pPr>
        <w:bidi w:val="0"/>
      </w:pPr>
      <w:r>
        <w:rPr>
          <w:rFonts w:hint="default"/>
          <w:lang w:val="en-US" w:eastAsia="zh-CN"/>
        </w:rPr>
        <w:t>红色闪烁，表示设备故障</w:t>
      </w:r>
    </w:p>
    <w:p w14:paraId="2586D5B5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0C8E95BD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1B77D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29470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112E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00981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3A629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2FD73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42194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E1C9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439AF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5FE4E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6CCBF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3E882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3D44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04E6D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26356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11E6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7C736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387E0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0B30B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1873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251A3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1E74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3C9A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68D9B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4D18EEC9">
      <w:pPr>
        <w:bidi w:val="0"/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表示当前采集液位值触发报警阈值</w:t>
      </w:r>
      <w:r>
        <w:rPr>
          <w:rFonts w:hint="default"/>
          <w:lang w:val="en-US" w:eastAsia="zh-CN"/>
        </w:rPr>
        <w:t>。</w:t>
      </w:r>
    </w:p>
    <w:p w14:paraId="76CD1369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28" w:name="_Toc4402"/>
      <w:r>
        <w:rPr>
          <w:rFonts w:hint="eastAsia"/>
          <w:lang w:val="en-US" w:eastAsia="zh-CN"/>
        </w:rPr>
        <w:t>现场操作</w:t>
      </w:r>
      <w:bookmarkEnd w:id="128"/>
    </w:p>
    <w:p w14:paraId="069FD848">
      <w:pPr>
        <w:bidi w:val="0"/>
      </w:pPr>
      <w:r>
        <w:rPr>
          <w:lang w:val="en-US" w:eastAsia="zh-CN"/>
        </w:rPr>
        <w:t xml:space="preserve">设备按键操作如下： </w:t>
      </w:r>
    </w:p>
    <w:p w14:paraId="2722890E">
      <w:pPr>
        <w:numPr>
          <w:ilvl w:val="0"/>
          <w:numId w:val="16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操作说明：单击按键点亮屏幕，显示监测值等信息；再次单击按键点亮背景灯，再次单击按键显示二维码</w:t>
      </w:r>
      <w:r>
        <w:rPr>
          <w:rFonts w:hint="default" w:ascii="Times New Roman" w:hAnsi="Times New Roman" w:eastAsia="宋体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在二维码界面下三击按键进入参数设置界面。</w:t>
      </w:r>
    </w:p>
    <w:p w14:paraId="0F52B05E">
      <w:pPr>
        <w:numPr>
          <w:ilvl w:val="0"/>
          <w:numId w:val="16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参数设置：进入参数设置界面后，可以对设备地址（</w:t>
      </w:r>
      <w:r>
        <w:rPr>
          <w:rFonts w:hint="default" w:ascii="Times New Roman" w:hAnsi="Times New Roman" w:eastAsia="宋体"/>
          <w:highlight w:val="none"/>
          <w:lang w:val="en-US" w:eastAsia="zh-CN"/>
        </w:rPr>
        <w:t>Address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）、</w:t>
      </w:r>
      <w:r>
        <w:rPr>
          <w:rFonts w:hint="default" w:ascii="Times New Roman" w:hAnsi="Times New Roman" w:eastAsia="宋体"/>
          <w:highlight w:val="none"/>
          <w:lang w:val="en-US" w:eastAsia="zh-CN"/>
        </w:rPr>
        <w:t>LORA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网络（</w:t>
      </w:r>
      <w:r>
        <w:rPr>
          <w:rFonts w:hint="default" w:ascii="Times New Roman" w:hAnsi="Times New Roman" w:eastAsia="宋体"/>
          <w:highlight w:val="none"/>
          <w:lang w:val="en-US" w:eastAsia="zh-CN"/>
        </w:rPr>
        <w:t>Net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、</w:t>
      </w:r>
      <w:r>
        <w:rPr>
          <w:rFonts w:hint="default" w:ascii="Times New Roman" w:hAnsi="Times New Roman" w:eastAsia="宋体"/>
          <w:highlight w:val="none"/>
          <w:lang w:val="en-US" w:eastAsia="zh-CN"/>
        </w:rPr>
        <w:t>Channel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）等参数进行设置。在</w:t>
      </w:r>
      <w:r>
        <w:rPr>
          <w:rFonts w:hint="default" w:ascii="Times New Roman" w:hAnsi="Times New Roman" w:eastAsia="宋体"/>
          <w:highlight w:val="none"/>
          <w:lang w:val="en-US" w:eastAsia="zh-CN"/>
        </w:rPr>
        <w:t>Setting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界面，单击按键进行列表换行，如下图所示，按键双击进入该参数设置界面。</w:t>
      </w:r>
    </w:p>
    <w:p w14:paraId="2C3F12E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2966085" cy="1080135"/>
            <wp:effectExtent l="0" t="0" r="5715" b="5715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AFC0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76FC432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5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5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78809D3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6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8226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14352F6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5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5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1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125605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989580" cy="1080135"/>
            <wp:effectExtent l="0" t="0" r="1270" b="5715"/>
            <wp:docPr id="6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374F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r>
        <w:rPr>
          <w:rFonts w:hint="eastAsia" w:eastAsiaTheme="minorEastAsia"/>
          <w:lang w:val="en-US" w:eastAsia="zh-CN"/>
        </w:rPr>
        <w:t>操作示意图</w:t>
      </w:r>
    </w:p>
    <w:p w14:paraId="69B476AA">
      <w:pPr>
        <w:numPr>
          <w:ilvl w:val="0"/>
          <w:numId w:val="16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PH校准操作：进入PHCalib页面可对PH传感器进行校准，校准时需准备在PH为4.00、6.86、9.18的标准液用于零点校准与斜率校准。</w:t>
      </w:r>
    </w:p>
    <w:p w14:paraId="6E557B16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零点校准：将传感器放入6.86PH标准溶液中，待3~5分钟数值稳定后进行零点校准。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Calib-6.86，双击按键，等待界面显示OK。</w:t>
      </w:r>
    </w:p>
    <w:p w14:paraId="3D2CA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99870" cy="1080135"/>
            <wp:effectExtent l="0" t="0" r="5080" b="5715"/>
            <wp:docPr id="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F2285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PH校准子界面</w:t>
      </w:r>
    </w:p>
    <w:p w14:paraId="247EF404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斜率校准：</w:t>
      </w:r>
    </w:p>
    <w:p w14:paraId="475AA3C9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校准酸性溶液时将传感器放入4.00PH标准溶液中，待3~5分钟数值稳定后进行斜率校准。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Calib-4.00，双击按键，等待界面显示OK。</w:t>
      </w:r>
    </w:p>
    <w:p w14:paraId="3C98F417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校准碱性溶液时将传感器放入9.18PH标准溶液中，待3~5分钟数值稳定后进行斜率校准。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Calib-9.18，双击按键，等待界面显示OK。</w:t>
      </w:r>
    </w:p>
    <w:p w14:paraId="1ADDB05F">
      <w:pPr>
        <w:numPr>
          <w:ilvl w:val="0"/>
          <w:numId w:val="16"/>
        </w:numPr>
        <w:rPr>
          <w:rFonts w:hint="eastAsia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溶解氧校准操作：进入DISSCalib页面可对溶解氧传感器进行校准，校准时需准备5%亚硫酸钠溶液与空气饱和水用于零点校准与斜率校准。</w:t>
      </w:r>
    </w:p>
    <w:p w14:paraId="25B85C90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零点校准：将传感器放入5%亚硫酸钠溶液中，待3分钟数值稳定后进行零点校准。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CalibZero，双击按键，等待界面显示OK。</w:t>
      </w:r>
    </w:p>
    <w:p w14:paraId="5914E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77645" cy="1080135"/>
            <wp:effectExtent l="0" t="0" r="8255" b="5715"/>
            <wp:docPr id="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7DF33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溶解氧校准子界面</w:t>
      </w:r>
    </w:p>
    <w:p w14:paraId="5678D98C">
      <w:pPr>
        <w:bidi w:val="0"/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斜率校准：将传感器放入空气饱和水中，待3分钟数值稳定后进行斜率校准。</w:t>
      </w:r>
      <w:r>
        <w:rPr>
          <w:rFonts w:hint="eastAsia"/>
          <w:lang w:val="en-US" w:eastAsia="zh-CN"/>
        </w:rPr>
        <w:t>进入参数设置界面后再进入校准子界面，光标选中</w:t>
      </w: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CalibSlope，双击按键，等待界面显示OK。</w:t>
      </w:r>
    </w:p>
    <w:p w14:paraId="4C70FC60">
      <w:pPr>
        <w:numPr>
          <w:ilvl w:val="0"/>
          <w:numId w:val="16"/>
        </w:numPr>
        <w:rPr>
          <w:rFonts w:hint="default" w:ascii="Times New Roman" w:hAnsi="Times New Roman" w:eastAsia="宋体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highlight w:val="none"/>
          <w:lang w:val="en-US" w:eastAsia="zh-CN"/>
        </w:rPr>
        <w:t>校准说明：仅传感器不准时使用，非必要无需进行校准。</w:t>
      </w:r>
    </w:p>
    <w:p w14:paraId="232D888F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7182BC7D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1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3"/>
        <w:gridCol w:w="1015"/>
        <w:gridCol w:w="1046"/>
        <w:gridCol w:w="1903"/>
      </w:tblGrid>
      <w:tr w14:paraId="2182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shd w:val="clear" w:color="auto" w:fill="D7D7D7" w:themeFill="background1" w:themeFillShade="D8"/>
            <w:vAlign w:val="center"/>
          </w:tcPr>
          <w:p w14:paraId="292D2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0" w:type="pct"/>
            <w:shd w:val="clear" w:color="auto" w:fill="D7D7D7" w:themeFill="background1" w:themeFillShade="D8"/>
            <w:vAlign w:val="center"/>
          </w:tcPr>
          <w:p w14:paraId="6C5CE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72" w:type="pct"/>
            <w:shd w:val="clear" w:color="auto" w:fill="D7D7D7" w:themeFill="background1" w:themeFillShade="D8"/>
            <w:vAlign w:val="center"/>
          </w:tcPr>
          <w:p w14:paraId="7BD48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1950" w:type="pct"/>
            <w:shd w:val="clear" w:color="auto" w:fill="D7D7D7" w:themeFill="background1" w:themeFillShade="D8"/>
            <w:vAlign w:val="center"/>
          </w:tcPr>
          <w:p w14:paraId="7A21E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19198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35" w:type="pct"/>
            <w:vMerge w:val="restart"/>
            <w:vAlign w:val="center"/>
          </w:tcPr>
          <w:p w14:paraId="3A5F7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40" w:type="pct"/>
            <w:vAlign w:val="center"/>
          </w:tcPr>
          <w:p w14:paraId="5A4D9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72" w:type="pct"/>
            <w:vAlign w:val="center"/>
          </w:tcPr>
          <w:p w14:paraId="7B7B3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5C8C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设备地址（仅LoRa）</w:t>
            </w:r>
          </w:p>
        </w:tc>
      </w:tr>
      <w:tr w14:paraId="5BDA7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35" w:type="pct"/>
            <w:vMerge w:val="continue"/>
            <w:vAlign w:val="center"/>
          </w:tcPr>
          <w:p w14:paraId="07599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63BD7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72" w:type="pct"/>
            <w:vAlign w:val="center"/>
          </w:tcPr>
          <w:p w14:paraId="29EC3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688CD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LoRa网络ID（仅LoRa）</w:t>
            </w:r>
          </w:p>
        </w:tc>
      </w:tr>
      <w:tr w14:paraId="18736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935" w:type="pct"/>
            <w:vMerge w:val="continue"/>
            <w:vAlign w:val="center"/>
          </w:tcPr>
          <w:p w14:paraId="79A9B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2E16C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72" w:type="pct"/>
            <w:vAlign w:val="center"/>
          </w:tcPr>
          <w:p w14:paraId="3DFE6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50" w:type="pct"/>
            <w:vAlign w:val="center"/>
          </w:tcPr>
          <w:p w14:paraId="7A3CE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LoRa网络通道（仅LoRa）</w:t>
            </w:r>
          </w:p>
        </w:tc>
      </w:tr>
      <w:tr w14:paraId="5076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35" w:type="pct"/>
            <w:vMerge w:val="continue"/>
            <w:vAlign w:val="center"/>
          </w:tcPr>
          <w:p w14:paraId="2CA4A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7A301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PHCalib</w:t>
            </w:r>
          </w:p>
        </w:tc>
        <w:tc>
          <w:tcPr>
            <w:tcW w:w="1072" w:type="pct"/>
            <w:vAlign w:val="center"/>
          </w:tcPr>
          <w:p w14:paraId="0A3E1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56812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校准</w:t>
            </w:r>
          </w:p>
        </w:tc>
      </w:tr>
      <w:tr w14:paraId="4FF2B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35" w:type="pct"/>
            <w:vMerge w:val="continue"/>
            <w:vAlign w:val="center"/>
          </w:tcPr>
          <w:p w14:paraId="5BF7F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5C2E6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DISSCalib</w:t>
            </w:r>
          </w:p>
        </w:tc>
        <w:tc>
          <w:tcPr>
            <w:tcW w:w="1072" w:type="pct"/>
            <w:vAlign w:val="center"/>
          </w:tcPr>
          <w:p w14:paraId="46652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6AC40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校准</w:t>
            </w:r>
          </w:p>
        </w:tc>
      </w:tr>
      <w:tr w14:paraId="4F67E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35" w:type="pct"/>
            <w:vMerge w:val="continue"/>
            <w:vAlign w:val="center"/>
          </w:tcPr>
          <w:p w14:paraId="7172F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0769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7093C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62AC5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75B5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  <w:jc w:val="center"/>
        </w:trPr>
        <w:tc>
          <w:tcPr>
            <w:tcW w:w="935" w:type="pct"/>
            <w:vAlign w:val="center"/>
          </w:tcPr>
          <w:p w14:paraId="06E19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40" w:type="pct"/>
            <w:vAlign w:val="center"/>
          </w:tcPr>
          <w:p w14:paraId="1F775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58E19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12694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73BEF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Align w:val="center"/>
          </w:tcPr>
          <w:p w14:paraId="02CAD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40" w:type="pct"/>
            <w:vAlign w:val="center"/>
          </w:tcPr>
          <w:p w14:paraId="17051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2BCA0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50" w:type="pct"/>
            <w:vAlign w:val="center"/>
          </w:tcPr>
          <w:p w14:paraId="275FC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7251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Align w:val="center"/>
          </w:tcPr>
          <w:p w14:paraId="4A903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bookmarkStart w:id="129" w:name="_Toc6386"/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40" w:type="pct"/>
            <w:vAlign w:val="center"/>
          </w:tcPr>
          <w:p w14:paraId="16C53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072" w:type="pct"/>
            <w:vAlign w:val="center"/>
          </w:tcPr>
          <w:p w14:paraId="24004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50" w:type="pct"/>
            <w:vAlign w:val="center"/>
          </w:tcPr>
          <w:p w14:paraId="775AF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08EB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restart"/>
            <w:vAlign w:val="center"/>
          </w:tcPr>
          <w:p w14:paraId="428EC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PHCalib</w:t>
            </w:r>
          </w:p>
        </w:tc>
        <w:tc>
          <w:tcPr>
            <w:tcW w:w="1040" w:type="pct"/>
            <w:vAlign w:val="center"/>
          </w:tcPr>
          <w:p w14:paraId="2E800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7B824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3253F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5213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continue"/>
            <w:vAlign w:val="center"/>
          </w:tcPr>
          <w:p w14:paraId="1E5EE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6FF84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Calib-6.86</w:t>
            </w:r>
          </w:p>
        </w:tc>
        <w:tc>
          <w:tcPr>
            <w:tcW w:w="1072" w:type="pct"/>
            <w:vAlign w:val="center"/>
          </w:tcPr>
          <w:p w14:paraId="0D17D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6BEFE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零点校准</w:t>
            </w:r>
          </w:p>
        </w:tc>
      </w:tr>
      <w:tr w14:paraId="6794F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continue"/>
            <w:vAlign w:val="center"/>
          </w:tcPr>
          <w:p w14:paraId="4CFAB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4F283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Calib-9.18</w:t>
            </w:r>
          </w:p>
        </w:tc>
        <w:tc>
          <w:tcPr>
            <w:tcW w:w="1072" w:type="pct"/>
            <w:vAlign w:val="center"/>
          </w:tcPr>
          <w:p w14:paraId="0DF10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7480E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斜率校准（9.18PH）</w:t>
            </w:r>
          </w:p>
        </w:tc>
      </w:tr>
      <w:tr w14:paraId="7BC2A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continue"/>
            <w:vAlign w:val="center"/>
          </w:tcPr>
          <w:p w14:paraId="19D3A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75FD4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Calib-4.00</w:t>
            </w:r>
          </w:p>
        </w:tc>
        <w:tc>
          <w:tcPr>
            <w:tcW w:w="1072" w:type="pct"/>
            <w:vAlign w:val="center"/>
          </w:tcPr>
          <w:p w14:paraId="4B79D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6FA99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斜率校准（4.00PH）</w:t>
            </w:r>
          </w:p>
        </w:tc>
      </w:tr>
      <w:tr w14:paraId="72B2C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restart"/>
            <w:vAlign w:val="center"/>
          </w:tcPr>
          <w:p w14:paraId="04D20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DISSCalib</w:t>
            </w:r>
          </w:p>
        </w:tc>
        <w:tc>
          <w:tcPr>
            <w:tcW w:w="1040" w:type="pct"/>
            <w:vAlign w:val="center"/>
          </w:tcPr>
          <w:p w14:paraId="72F47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1072" w:type="pct"/>
            <w:vAlign w:val="center"/>
          </w:tcPr>
          <w:p w14:paraId="0FDEB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062B9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2619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continue"/>
            <w:vAlign w:val="center"/>
          </w:tcPr>
          <w:p w14:paraId="3B315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5AE6A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Zero Calib</w:t>
            </w:r>
          </w:p>
        </w:tc>
        <w:tc>
          <w:tcPr>
            <w:tcW w:w="1072" w:type="pct"/>
            <w:vAlign w:val="center"/>
          </w:tcPr>
          <w:p w14:paraId="661D0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0AE4B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零点校准</w:t>
            </w:r>
          </w:p>
        </w:tc>
      </w:tr>
      <w:tr w14:paraId="3B76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935" w:type="pct"/>
            <w:vMerge w:val="continue"/>
            <w:vAlign w:val="center"/>
          </w:tcPr>
          <w:p w14:paraId="28E48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40" w:type="pct"/>
            <w:vAlign w:val="center"/>
          </w:tcPr>
          <w:p w14:paraId="57694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Slope Calib</w:t>
            </w:r>
          </w:p>
        </w:tc>
        <w:tc>
          <w:tcPr>
            <w:tcW w:w="1072" w:type="pct"/>
            <w:vAlign w:val="center"/>
          </w:tcPr>
          <w:p w14:paraId="69486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50" w:type="pct"/>
            <w:vAlign w:val="center"/>
          </w:tcPr>
          <w:p w14:paraId="2F17C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斜率校准</w:t>
            </w:r>
          </w:p>
        </w:tc>
      </w:tr>
    </w:tbl>
    <w:p w14:paraId="7BC9E65E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30" w:name="_Toc2342"/>
      <w:r>
        <w:rPr>
          <w:rFonts w:hint="eastAsia"/>
          <w:lang w:val="en-US" w:eastAsia="zh-CN"/>
        </w:rPr>
        <w:t>设备上云</w:t>
      </w:r>
      <w:bookmarkEnd w:id="129"/>
      <w:bookmarkEnd w:id="130"/>
    </w:p>
    <w:p w14:paraId="3CEC0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世电设备助手小程序</w:t>
      </w:r>
      <w:r>
        <w:rPr>
          <w:rFonts w:hint="eastAsia" w:ascii="Times New Roman" w:hAnsi="Times New Roman"/>
          <w:lang w:val="en-US" w:eastAsia="zh-CN"/>
        </w:rPr>
        <w:t>”或web 端绑定设备，实现远程监控、异常告警、数据报表等功能。</w:t>
      </w:r>
    </w:p>
    <w:p w14:paraId="0A4F613D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01581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77B36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1FF45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6743A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端地址：https://www.west-iot.com/wessass</w:t>
      </w:r>
    </w:p>
    <w:p w14:paraId="5FDFF204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09E81886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4EC589C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lang w:val="en-US" w:eastAsia="zh-CN"/>
        </w:rPr>
        <w:t>点击</w:t>
      </w:r>
      <w:r>
        <w:rPr>
          <w:rFonts w:hint="eastAsia"/>
          <w:lang w:val="en-US" w:eastAsia="zh-CN"/>
        </w:rPr>
        <w:t>项目</w:t>
      </w:r>
      <w:r>
        <w:rPr>
          <w:lang w:val="en-US" w:eastAsia="zh-CN"/>
        </w:rPr>
        <w:t>--</w:t>
      </w:r>
      <w:r>
        <w:rPr>
          <w:rFonts w:hint="eastAsia"/>
          <w:lang w:val="en-US" w:eastAsia="zh-CN"/>
        </w:rPr>
        <w:t>选择项目--点击</w:t>
      </w:r>
      <w: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--点击设备管理。</w:t>
      </w:r>
    </w:p>
    <w:p w14:paraId="598677F3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FB4F0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34168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140D7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4D59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1F67C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C36E1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324BF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52A8D0B2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69719C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589B0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4B24F4C0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0370" cy="1259840"/>
            <wp:effectExtent l="0" t="0" r="11430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60370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134406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262BA8F9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5EA86889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。云平台</w:t>
      </w:r>
      <w:r>
        <w:rPr>
          <w:rFonts w:hint="eastAsia"/>
          <w:lang w:val="en-US" w:eastAsia="zh-CN"/>
        </w:rPr>
        <w:t>及小程序</w:t>
      </w:r>
      <w:r>
        <w:rPr>
          <w:rFonts w:hint="eastAsia" w:ascii="Times New Roman" w:hAnsi="Times New Roman"/>
          <w:lang w:val="en-US" w:eastAsia="zh-CN"/>
        </w:rPr>
        <w:t>详细操作指南可</w:t>
      </w:r>
      <w:r>
        <w:rPr>
          <w:rFonts w:hint="eastAsia"/>
          <w:lang w:val="en-US" w:eastAsia="zh-CN"/>
        </w:rPr>
        <w:t>在小程序文档中心查看</w:t>
      </w:r>
      <w:r>
        <w:rPr>
          <w:rFonts w:hint="eastAsia" w:ascii="Times New Roman" w:hAnsi="Times New Roman"/>
          <w:lang w:val="en-US" w:eastAsia="zh-CN"/>
        </w:rPr>
        <w:t>。</w:t>
      </w:r>
    </w:p>
    <w:p w14:paraId="44081F61">
      <w:pPr>
        <w:ind w:left="0" w:leftChars="0" w:firstLine="0" w:firstLineChars="0"/>
        <w:rPr>
          <w:rFonts w:hint="eastAsia" w:ascii="Times New Roman" w:hAnsi="Times New Roman" w:eastAsia="宋体"/>
          <w:b/>
          <w:sz w:val="21"/>
          <w:lang w:val="en-US" w:eastAsia="zh-CN"/>
        </w:rPr>
      </w:pPr>
    </w:p>
    <w:p w14:paraId="13E5D5BE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1" w:name="_Toc22319"/>
      <w:r>
        <w:rPr>
          <w:rFonts w:hint="eastAsia"/>
          <w:lang w:val="en-US" w:eastAsia="zh-CN"/>
        </w:rPr>
        <w:t>设备本地蓝牙配置</w:t>
      </w:r>
      <w:bookmarkEnd w:id="131"/>
    </w:p>
    <w:p w14:paraId="013B09A9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401B1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--</w:t>
      </w:r>
      <w:r>
        <w:rPr>
          <w:rFonts w:hint="eastAsia" w:ascii="Times New Roman" w:hAnsi="Times New Roman"/>
          <w:lang w:val="en-US" w:eastAsia="zh-CN"/>
        </w:rPr>
        <w:t>点击搜索设备。搜索到想要连接的设备后可点击停止搜索。</w:t>
      </w:r>
    </w:p>
    <w:p w14:paraId="612B2EFE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45640" cy="1367790"/>
            <wp:effectExtent l="0" t="0" r="16510" b="3810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EB67EE3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609F82E5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3AA2E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</w:t>
      </w:r>
      <w:r>
        <w:rPr>
          <w:rFonts w:hint="eastAsia"/>
          <w:lang w:val="en-US" w:eastAsia="zh-CN"/>
        </w:rPr>
        <w:t>名称，连接设备</w:t>
      </w:r>
      <w:r>
        <w:rPr>
          <w:rFonts w:hint="eastAsia" w:ascii="Times New Roman" w:hAnsi="Times New Roman"/>
          <w:lang w:val="en-US" w:eastAsia="zh-CN"/>
        </w:rPr>
        <w:t>。</w:t>
      </w:r>
    </w:p>
    <w:p w14:paraId="04397D6C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5240" cy="1367790"/>
            <wp:effectExtent l="0" t="0" r="1016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05AE80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0EBC0A7E">
      <w:pPr>
        <w:keepNext w:val="0"/>
        <w:keepLines w:val="0"/>
        <w:widowControl w:val="0"/>
        <w:suppressLineNumbers w:val="0"/>
        <w:spacing w:before="0" w:beforeAutospacing="0" w:after="0" w:afterAutospacing="0" w:line="240" w:lineRule="atLeast"/>
        <w:ind w:left="0" w:leftChars="0" w:right="0" w:firstLine="0" w:firstLineChars="0"/>
        <w:jc w:val="left"/>
        <w:rPr>
          <w:rFonts w:hint="eastAsia" w:ascii="Times New Roman" w:hAnsi="Times New Roman" w:eastAsia="宋体" w:cs="Times New Roman"/>
          <w:b/>
          <w:bCs/>
          <w:kern w:val="2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kern w:val="2"/>
          <w:sz w:val="18"/>
          <w:szCs w:val="18"/>
          <w:lang w:val="en-US" w:eastAsia="zh-CN" w:bidi="ar"/>
        </w:rPr>
        <w:t>第三步：操作设备</w:t>
      </w:r>
    </w:p>
    <w:p w14:paraId="3BBFEFB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00" w:lineRule="exact"/>
        <w:ind w:left="0" w:right="0" w:firstLine="360" w:firstLineChars="200"/>
        <w:jc w:val="left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18"/>
          <w:szCs w:val="18"/>
          <w:lang w:val="en-US" w:eastAsia="zh-CN" w:bidi="ar"/>
        </w:rPr>
        <w:t>连接设备成功后，可在状态中查看设备状态数据，配置中修改设备属性，运维中重启、识别、升级设备。</w:t>
      </w:r>
    </w:p>
    <w:p w14:paraId="1D68B088">
      <w:pPr>
        <w:ind w:left="0" w:leftChars="0" w:firstLine="0" w:firstLineChars="0"/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6F6AF7FB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32" w:name="_Toc20057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32"/>
    </w:p>
    <w:p w14:paraId="730A5B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  <w:sectPr>
          <w:headerReference r:id="rId26" w:type="default"/>
          <w:headerReference r:id="rId27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30秒</w:t>
      </w:r>
      <w:r>
        <w:t>，上报周期默认为</w:t>
      </w:r>
      <w:r>
        <w:rPr>
          <w:rFonts w:hint="eastAsia"/>
          <w:lang w:val="en-US" w:eastAsia="zh-CN"/>
        </w:rPr>
        <w:t>5分钟</w:t>
      </w:r>
      <w:r>
        <w:t>，均可调）</w:t>
      </w:r>
    </w:p>
    <w:p w14:paraId="2A806EA1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3" w:name="_Toc31806"/>
      <w:r>
        <w:rPr>
          <w:rFonts w:hint="eastAsia" w:ascii="Times New Roman" w:hAnsi="Times New Roman" w:eastAsia="宋体"/>
          <w:b/>
          <w:sz w:val="21"/>
          <w:lang w:val="en-US" w:eastAsia="zh-CN"/>
        </w:rPr>
        <w:t>故障分析及排除</w:t>
      </w:r>
      <w:bookmarkEnd w:id="133"/>
    </w:p>
    <w:p w14:paraId="0FBC134F">
      <w:p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溶解氧变送器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p w14:paraId="30483F3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623"/>
        <w:gridCol w:w="2052"/>
      </w:tblGrid>
      <w:tr w14:paraId="09599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05" w:type="pct"/>
            <w:shd w:val="clear" w:color="auto" w:fill="D7D7D7" w:themeFill="background1" w:themeFillShade="D8"/>
            <w:vAlign w:val="center"/>
          </w:tcPr>
          <w:p w14:paraId="44597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1" w:type="pct"/>
            <w:shd w:val="clear" w:color="auto" w:fill="D7D7D7" w:themeFill="background1" w:themeFillShade="D8"/>
            <w:vAlign w:val="center"/>
          </w:tcPr>
          <w:p w14:paraId="6E124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2062" w:type="pct"/>
            <w:shd w:val="clear" w:color="auto" w:fill="D7D7D7" w:themeFill="background1" w:themeFillShade="D8"/>
            <w:vAlign w:val="center"/>
          </w:tcPr>
          <w:p w14:paraId="4C307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6C09D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05" w:type="pct"/>
            <w:vAlign w:val="center"/>
          </w:tcPr>
          <w:p w14:paraId="15756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01968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2062" w:type="pct"/>
            <w:vAlign w:val="center"/>
          </w:tcPr>
          <w:p w14:paraId="28D3C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27BF9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05" w:type="pct"/>
            <w:vMerge w:val="restart"/>
            <w:vAlign w:val="center"/>
          </w:tcPr>
          <w:p w14:paraId="4198D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采集值异常</w:t>
            </w:r>
          </w:p>
        </w:tc>
        <w:tc>
          <w:tcPr>
            <w:tcW w:w="1631" w:type="pct"/>
            <w:vAlign w:val="center"/>
          </w:tcPr>
          <w:p w14:paraId="6F1AF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探头连接断开</w:t>
            </w:r>
          </w:p>
        </w:tc>
        <w:tc>
          <w:tcPr>
            <w:tcW w:w="2062" w:type="pct"/>
            <w:vAlign w:val="center"/>
          </w:tcPr>
          <w:p w14:paraId="2304C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查看现场主机与探头连接是否正常</w:t>
            </w:r>
          </w:p>
        </w:tc>
      </w:tr>
      <w:tr w14:paraId="1D27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05" w:type="pct"/>
            <w:vMerge w:val="continue"/>
            <w:vAlign w:val="center"/>
          </w:tcPr>
          <w:p w14:paraId="1CF27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3234A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探头被沾污覆盖</w:t>
            </w:r>
          </w:p>
        </w:tc>
        <w:tc>
          <w:tcPr>
            <w:tcW w:w="2062" w:type="pct"/>
            <w:vAlign w:val="center"/>
          </w:tcPr>
          <w:p w14:paraId="69F0B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清洁探头</w:t>
            </w:r>
          </w:p>
        </w:tc>
      </w:tr>
      <w:tr w14:paraId="4B396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1305" w:type="pct"/>
            <w:vMerge w:val="restart"/>
            <w:vAlign w:val="center"/>
          </w:tcPr>
          <w:p w14:paraId="5228C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1" w:type="pct"/>
            <w:vAlign w:val="center"/>
          </w:tcPr>
          <w:p w14:paraId="664F9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303F1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2062" w:type="pct"/>
            <w:vAlign w:val="center"/>
          </w:tcPr>
          <w:p w14:paraId="48D0A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                                                                                                                                                                    强度。</w:t>
            </w:r>
          </w:p>
        </w:tc>
      </w:tr>
      <w:tr w14:paraId="56EC2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1305" w:type="pct"/>
            <w:vMerge w:val="continue"/>
            <w:vAlign w:val="center"/>
          </w:tcPr>
          <w:p w14:paraId="54AB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1571D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2062" w:type="pct"/>
            <w:vAlign w:val="center"/>
          </w:tcPr>
          <w:p w14:paraId="2A1C0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6677F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  <w:tr w14:paraId="207B2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05" w:type="pct"/>
            <w:vMerge w:val="restart"/>
            <w:vAlign w:val="center"/>
          </w:tcPr>
          <w:p w14:paraId="15E2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电刷不转</w:t>
            </w:r>
          </w:p>
        </w:tc>
        <w:tc>
          <w:tcPr>
            <w:tcW w:w="1631" w:type="pct"/>
            <w:vAlign w:val="center"/>
          </w:tcPr>
          <w:p w14:paraId="4DF7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电机故障</w:t>
            </w:r>
          </w:p>
        </w:tc>
        <w:tc>
          <w:tcPr>
            <w:tcW w:w="2062" w:type="pct"/>
            <w:vAlign w:val="center"/>
          </w:tcPr>
          <w:p w14:paraId="3CE38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单独供电也不转</w:t>
            </w:r>
          </w:p>
        </w:tc>
      </w:tr>
      <w:tr w14:paraId="29B8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05" w:type="pct"/>
            <w:vMerge w:val="continue"/>
            <w:vAlign w:val="center"/>
          </w:tcPr>
          <w:p w14:paraId="7ABE8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</w:p>
        </w:tc>
        <w:tc>
          <w:tcPr>
            <w:tcW w:w="1631" w:type="pct"/>
            <w:vAlign w:val="center"/>
          </w:tcPr>
          <w:p w14:paraId="24CB4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探头连接断开</w:t>
            </w:r>
          </w:p>
        </w:tc>
        <w:tc>
          <w:tcPr>
            <w:tcW w:w="2062" w:type="pct"/>
            <w:vAlign w:val="center"/>
          </w:tcPr>
          <w:p w14:paraId="4B811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查看现场主机与点刷连接是否正常</w:t>
            </w:r>
          </w:p>
        </w:tc>
      </w:tr>
      <w:tr w14:paraId="3E7C7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305" w:type="pct"/>
            <w:vAlign w:val="center"/>
          </w:tcPr>
          <w:p w14:paraId="7A32D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仪表无显示</w:t>
            </w:r>
          </w:p>
        </w:tc>
        <w:tc>
          <w:tcPr>
            <w:tcW w:w="1631" w:type="pct"/>
            <w:vAlign w:val="center"/>
          </w:tcPr>
          <w:p w14:paraId="47F54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电池电量低</w:t>
            </w:r>
          </w:p>
        </w:tc>
        <w:tc>
          <w:tcPr>
            <w:tcW w:w="2062" w:type="pct"/>
            <w:vAlign w:val="center"/>
          </w:tcPr>
          <w:p w14:paraId="49789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更换新电池</w:t>
            </w:r>
          </w:p>
        </w:tc>
      </w:tr>
      <w:tr w14:paraId="4F63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05" w:type="pct"/>
            <w:vAlign w:val="center"/>
          </w:tcPr>
          <w:p w14:paraId="41139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卡读不到</w:t>
            </w:r>
          </w:p>
        </w:tc>
        <w:tc>
          <w:tcPr>
            <w:tcW w:w="1631" w:type="pct"/>
            <w:vAlign w:val="center"/>
          </w:tcPr>
          <w:p w14:paraId="5EEA4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卡未插好/卡没费/卡绑定</w:t>
            </w:r>
          </w:p>
        </w:tc>
        <w:tc>
          <w:tcPr>
            <w:tcW w:w="2062" w:type="pct"/>
            <w:vAlign w:val="top"/>
          </w:tcPr>
          <w:p w14:paraId="71C95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重插</w:t>
            </w:r>
          </w:p>
          <w:p w14:paraId="1711E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查询卡费续费</w:t>
            </w:r>
          </w:p>
          <w:p w14:paraId="7CB00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卡解绑</w:t>
            </w:r>
          </w:p>
        </w:tc>
      </w:tr>
      <w:tr w14:paraId="5FB6D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05" w:type="pct"/>
            <w:vAlign w:val="center"/>
          </w:tcPr>
          <w:p w14:paraId="167A9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平台无数据</w:t>
            </w:r>
          </w:p>
        </w:tc>
        <w:tc>
          <w:tcPr>
            <w:tcW w:w="1631" w:type="pct"/>
            <w:vAlign w:val="center"/>
          </w:tcPr>
          <w:p w14:paraId="1ADCD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一般程序有BUG</w:t>
            </w:r>
          </w:p>
        </w:tc>
        <w:tc>
          <w:tcPr>
            <w:tcW w:w="2062" w:type="pct"/>
            <w:vAlign w:val="top"/>
          </w:tcPr>
          <w:p w14:paraId="3D1E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检查程序</w:t>
            </w:r>
          </w:p>
        </w:tc>
      </w:tr>
    </w:tbl>
    <w:p w14:paraId="27E0D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jc w:val="both"/>
        <w:textAlignment w:val="auto"/>
        <w:rPr>
          <w:rFonts w:hint="eastAsia"/>
          <w:lang w:val="en-US" w:eastAsia="zh-CN"/>
        </w:rPr>
        <w:sectPr>
          <w:headerReference r:id="rId28" w:type="default"/>
          <w:headerReference r:id="rId29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6CA216D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34" w:name="_Toc21204"/>
      <w:r>
        <w:rPr>
          <w:rFonts w:hint="eastAsia" w:ascii="Times New Roman" w:hAnsi="Times New Roman" w:eastAsia="宋体"/>
          <w:b/>
          <w:sz w:val="21"/>
          <w:lang w:val="en-US" w:eastAsia="zh-CN"/>
        </w:rPr>
        <w:t>质保及售后服务</w:t>
      </w:r>
      <w:bookmarkEnd w:id="134"/>
    </w:p>
    <w:p w14:paraId="08BF0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600AE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6DC88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22EA9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5315B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6A786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eastAsia="宋体"/>
          <w:lang w:val="en-US" w:eastAsia="zh-CN"/>
        </w:rPr>
        <w:sectPr>
          <w:headerReference r:id="rId30" w:type="default"/>
          <w:headerReference r:id="rId31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客户对产品自行拆解、修理和改装造成产品故障</w:t>
      </w:r>
      <w:r>
        <w:rPr>
          <w:rFonts w:hint="eastAsia"/>
          <w:lang w:eastAsia="zh-CN"/>
        </w:rPr>
        <w:t>。</w:t>
      </w:r>
    </w:p>
    <w:p w14:paraId="62D7DB56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35" w:name="_Toc7923"/>
      <w:r>
        <w:rPr>
          <w:rFonts w:hint="eastAsia"/>
          <w:b/>
          <w:sz w:val="21"/>
          <w:lang w:val="en-US" w:eastAsia="zh-CN"/>
        </w:rPr>
        <w:t xml:space="preserve">附录 </w:t>
      </w:r>
      <w:r>
        <w:rPr>
          <w:rFonts w:hint="eastAsia" w:ascii="Times New Roman" w:hAnsi="Times New Roman" w:eastAsia="宋体"/>
          <w:b/>
          <w:sz w:val="21"/>
          <w:lang w:val="en-US" w:eastAsia="zh-CN"/>
        </w:rPr>
        <w:t>选型与订货</w:t>
      </w:r>
      <w:bookmarkEnd w:id="135"/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3393"/>
      </w:tblGrid>
      <w:tr w14:paraId="61156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3778B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WE-T</w:t>
            </w:r>
            <w:r>
              <w:rPr>
                <w:rFonts w:hint="eastAsia"/>
                <w:highlight w:val="none"/>
                <w:lang w:val="en-US" w:eastAsia="zh-CN"/>
              </w:rPr>
              <w:t>127</w:t>
            </w: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产品选型参数表</w:t>
            </w:r>
          </w:p>
          <w:p w14:paraId="12024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</w:tr>
      <w:tr w14:paraId="3EEDB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  <w:jc w:val="center"/>
        </w:trPr>
        <w:tc>
          <w:tcPr>
            <w:tcW w:w="1593" w:type="pct"/>
            <w:shd w:val="clear" w:color="auto" w:fill="D7D7D7" w:themeFill="background1" w:themeFillShade="D8"/>
            <w:vAlign w:val="center"/>
          </w:tcPr>
          <w:p w14:paraId="5AC03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参数类别</w:t>
            </w:r>
          </w:p>
        </w:tc>
        <w:tc>
          <w:tcPr>
            <w:tcW w:w="3406" w:type="pct"/>
            <w:shd w:val="clear" w:color="auto" w:fill="D7D7D7" w:themeFill="background1" w:themeFillShade="D8"/>
            <w:vAlign w:val="center"/>
          </w:tcPr>
          <w:p w14:paraId="7F94B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选型代码与规格说明</w:t>
            </w:r>
          </w:p>
        </w:tc>
      </w:tr>
      <w:tr w14:paraId="0EE8A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  <w:jc w:val="center"/>
        </w:trPr>
        <w:tc>
          <w:tcPr>
            <w:tcW w:w="1593" w:type="pct"/>
            <w:vMerge w:val="restart"/>
            <w:vAlign w:val="center"/>
          </w:tcPr>
          <w:p w14:paraId="38DAD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通讯方式</w:t>
            </w:r>
          </w:p>
        </w:tc>
        <w:tc>
          <w:tcPr>
            <w:tcW w:w="3406" w:type="pct"/>
            <w:vAlign w:val="center"/>
          </w:tcPr>
          <w:p w14:paraId="0345A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LR：LoRa</w:t>
            </w:r>
          </w:p>
        </w:tc>
      </w:tr>
      <w:tr w14:paraId="4B49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  <w:jc w:val="center"/>
        </w:trPr>
        <w:tc>
          <w:tcPr>
            <w:tcW w:w="1593" w:type="pct"/>
            <w:vMerge w:val="continue"/>
            <w:vAlign w:val="center"/>
          </w:tcPr>
          <w:p w14:paraId="10C3D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7497A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4G：4G/Cat1</w:t>
            </w:r>
          </w:p>
        </w:tc>
      </w:tr>
      <w:tr w14:paraId="7B50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  <w:jc w:val="center"/>
        </w:trPr>
        <w:tc>
          <w:tcPr>
            <w:tcW w:w="1593" w:type="pct"/>
            <w:vMerge w:val="continue"/>
            <w:vAlign w:val="center"/>
          </w:tcPr>
          <w:p w14:paraId="17FF1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7A4CA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NB：NB</w:t>
            </w:r>
          </w:p>
        </w:tc>
      </w:tr>
      <w:tr w14:paraId="40F96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  <w:jc w:val="center"/>
        </w:trPr>
        <w:tc>
          <w:tcPr>
            <w:tcW w:w="1593" w:type="pct"/>
            <w:vAlign w:val="center"/>
          </w:tcPr>
          <w:p w14:paraId="445FA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A精度等级</w:t>
            </w:r>
          </w:p>
        </w:tc>
        <w:tc>
          <w:tcPr>
            <w:tcW w:w="3406" w:type="pct"/>
            <w:vAlign w:val="center"/>
          </w:tcPr>
          <w:p w14:paraId="482CE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64EBF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  <w:jc w:val="center"/>
        </w:trPr>
        <w:tc>
          <w:tcPr>
            <w:tcW w:w="1593" w:type="pct"/>
            <w:vAlign w:val="center"/>
          </w:tcPr>
          <w:p w14:paraId="1F812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R量程范围</w:t>
            </w:r>
          </w:p>
        </w:tc>
        <w:tc>
          <w:tcPr>
            <w:tcW w:w="3406" w:type="pct"/>
            <w:vAlign w:val="center"/>
          </w:tcPr>
          <w:p w14:paraId="458D3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2489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tblHeader/>
          <w:jc w:val="center"/>
        </w:trPr>
        <w:tc>
          <w:tcPr>
            <w:tcW w:w="1593" w:type="pct"/>
            <w:vMerge w:val="restart"/>
            <w:vAlign w:val="center"/>
          </w:tcPr>
          <w:p w14:paraId="49647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P供电方式</w:t>
            </w:r>
          </w:p>
        </w:tc>
        <w:tc>
          <w:tcPr>
            <w:tcW w:w="3406" w:type="pct"/>
            <w:vAlign w:val="center"/>
          </w:tcPr>
          <w:p w14:paraId="40B4E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P0：</w:t>
            </w:r>
            <w:r>
              <w:rPr>
                <w:rFonts w:hint="eastAsia"/>
                <w:highlight w:val="none"/>
                <w:lang w:val="en-US" w:eastAsia="zh-CN"/>
              </w:rPr>
              <w:t>电池供电</w:t>
            </w:r>
          </w:p>
        </w:tc>
      </w:tr>
      <w:tr w14:paraId="7032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  <w:jc w:val="center"/>
        </w:trPr>
        <w:tc>
          <w:tcPr>
            <w:tcW w:w="1593" w:type="pct"/>
            <w:vMerge w:val="continue"/>
            <w:vAlign w:val="center"/>
          </w:tcPr>
          <w:p w14:paraId="41472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</w:p>
        </w:tc>
        <w:tc>
          <w:tcPr>
            <w:tcW w:w="3406" w:type="pct"/>
            <w:vAlign w:val="center"/>
          </w:tcPr>
          <w:p w14:paraId="5C011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P1：9~30VDC供电</w:t>
            </w:r>
          </w:p>
        </w:tc>
      </w:tr>
      <w:tr w14:paraId="43E4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  <w:jc w:val="center"/>
        </w:trPr>
        <w:tc>
          <w:tcPr>
            <w:tcW w:w="1593" w:type="pct"/>
            <w:vAlign w:val="center"/>
          </w:tcPr>
          <w:p w14:paraId="1E660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传感器安装方式</w:t>
            </w:r>
          </w:p>
        </w:tc>
        <w:tc>
          <w:tcPr>
            <w:tcW w:w="3406" w:type="pct"/>
            <w:vAlign w:val="center"/>
          </w:tcPr>
          <w:p w14:paraId="0CA1B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  <w:t>N/A</w:t>
            </w:r>
          </w:p>
        </w:tc>
      </w:tr>
      <w:tr w14:paraId="41055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  <w:jc w:val="center"/>
        </w:trPr>
        <w:tc>
          <w:tcPr>
            <w:tcW w:w="5000" w:type="pct"/>
            <w:gridSpan w:val="2"/>
            <w:vAlign w:val="center"/>
          </w:tcPr>
          <w:p w14:paraId="7C138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备注：可定制量供电方式</w:t>
            </w:r>
          </w:p>
        </w:tc>
      </w:tr>
    </w:tbl>
    <w:p w14:paraId="117B0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示例：</w:t>
      </w:r>
    </w:p>
    <w:p w14:paraId="0CF29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WE-T</w:t>
      </w:r>
      <w:r>
        <w:rPr>
          <w:rFonts w:hint="eastAsia"/>
          <w:lang w:val="en-US" w:eastAsia="zh-CN"/>
        </w:rPr>
        <w:t>127</w:t>
      </w:r>
      <w:r>
        <w:rPr>
          <w:rFonts w:hint="default" w:ascii="Times New Roman" w:hAnsi="Times New Roman" w:eastAsia="宋体"/>
          <w:lang w:val="en-US" w:eastAsia="zh-CN"/>
        </w:rPr>
        <w:t>-LR-P</w:t>
      </w:r>
      <w:r>
        <w:rPr>
          <w:rFonts w:hint="eastAsia"/>
          <w:lang w:val="en-US" w:eastAsia="zh-CN"/>
        </w:rPr>
        <w:t>1</w:t>
      </w:r>
    </w:p>
    <w:p w14:paraId="2BA83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lang w:val="en-US" w:eastAsia="zh-CN"/>
        </w:rPr>
      </w:pPr>
      <w:r>
        <w:rPr>
          <w:rFonts w:hint="default" w:ascii="Times New Roman" w:hAnsi="Times New Roman" w:eastAsia="宋体"/>
          <w:lang w:val="en-US" w:eastAsia="zh-CN"/>
        </w:rPr>
        <w:t>LoRa</w:t>
      </w:r>
      <w:r>
        <w:rPr>
          <w:rFonts w:hint="eastAsia"/>
          <w:lang w:val="en-US" w:eastAsia="zh-CN"/>
        </w:rPr>
        <w:t>PH溶解氧自清洁三合一</w:t>
      </w:r>
      <w:r>
        <w:rPr>
          <w:rFonts w:hint="eastAsia" w:ascii="Times New Roman" w:hAnsi="Times New Roman" w:eastAsia="宋体"/>
          <w:lang w:val="en-US" w:eastAsia="zh-CN"/>
        </w:rPr>
        <w:t>变送器，0~20m检测范围，</w:t>
      </w:r>
      <w:r>
        <w:rPr>
          <w:rFonts w:hint="eastAsia"/>
          <w:lang w:val="en-US" w:eastAsia="zh-CN"/>
        </w:rPr>
        <w:t>DC</w:t>
      </w:r>
      <w:r>
        <w:rPr>
          <w:rFonts w:hint="eastAsia" w:ascii="Times New Roman" w:hAnsi="Times New Roman" w:eastAsia="宋体"/>
          <w:lang w:val="en-US" w:eastAsia="zh-CN"/>
        </w:rPr>
        <w:t>供电</w:t>
      </w:r>
    </w:p>
    <w:p w14:paraId="3FC343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  <w:sectPr>
          <w:headerReference r:id="rId32" w:type="default"/>
          <w:headerReference r:id="rId33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26C4B8D1">
      <w:pPr>
        <w:rPr>
          <w:rFonts w:hint="default"/>
        </w:rPr>
      </w:pPr>
    </w:p>
    <w:p w14:paraId="56E5C3D8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position w:val="-1"/>
          <w:sz w:val="3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3804285</wp:posOffset>
                </wp:positionV>
                <wp:extent cx="3060065" cy="76200"/>
                <wp:effectExtent l="0" t="11430" r="6985" b="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0065" cy="76200"/>
                          <a:chOff x="18" y="18"/>
                          <a:chExt cx="6590" cy="20"/>
                        </a:xfrm>
                      </wpg:grpSpPr>
                      <wps:wsp>
                        <wps:cNvPr id="75" name="任意多边形 1"/>
                        <wps:cNvSpPr/>
                        <wps:spPr>
                          <a:xfrm>
                            <a:off x="24" y="18"/>
                            <a:ext cx="6578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78" h="20">
                                <a:moveTo>
                                  <a:pt x="0" y="0"/>
                                </a:moveTo>
                                <a:lnTo>
                                  <a:pt x="6578" y="0"/>
                                </a:lnTo>
                              </a:path>
                            </a:pathLst>
                          </a:custGeom>
                          <a:noFill/>
                          <a:ln w="15748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6" name="任意多边形 2"/>
                        <wps:cNvSpPr/>
                        <wps:spPr>
                          <a:xfrm>
                            <a:off x="18" y="18"/>
                            <a:ext cx="6590" cy="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6590" h="20">
                                <a:moveTo>
                                  <a:pt x="0" y="0"/>
                                </a:moveTo>
                                <a:lnTo>
                                  <a:pt x="6590" y="0"/>
                                </a:lnTo>
                              </a:path>
                            </a:pathLst>
                          </a:custGeom>
                          <a:noFill/>
                          <a:ln w="23355" cap="flat" cmpd="sng">
                            <a:solidFill>
                              <a:srgbClr val="0070C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299.55pt;height:6pt;width:240.95pt;z-index:251673600;mso-width-relative:page;mso-height-relative:page;" coordorigin="18,18" coordsize="6590,20" o:gfxdata="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L15g0TYAAAACAEAAA8AAAAAAAAAAQAgAAAAIgAAAGRycy9kb3ducmV2LnhtbFBLAQIUABQAAAAI&#10;AIdO4kDqUyNI0QIAAGMIAAAOAAAAAAAAAAEAIAAAACcBAABkcnMvZTJvRG9jLnhtbFBLBQYAAAAA&#10;BgAGAFkBAABqBgAAAAA=&#10;">
                <o:lock v:ext="edit" aspectratio="f"/>
                <v:shape id="任意多边形 1" o:spid="_x0000_s1026" o:spt="100" style="position:absolute;left:24;top:18;height:20;width:6578;" filled="f" stroked="t" coordsize="6578,20" o:gfxdata="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2vtuvQAA&#10;ANsAAAAPAAAAAAAAAAEAIAAAACIAAABkcnMvZG93bnJldi54bWxQSwECFAAUAAAACACHTuJAMy8F&#10;njsAAAA5AAAAEAAAAAAAAAABACAAAAAMAQAAZHJzL3NoYXBleG1sLnhtbFBLBQYAAAAABgAGAFsB&#10;AAC2AwAAAAA=&#10;" path="m0,0l6578,0e">
                  <v:fill on="f" focussize="0,0"/>
                  <v:stroke weight="1.24pt" color="#0070C0" joinstyle="round"/>
                  <v:imagedata o:title=""/>
                  <o:lock v:ext="edit" aspectratio="f"/>
                </v:shape>
                <v:shape id="任意多边形 2" o:spid="_x0000_s1026" o:spt="100" style="position:absolute;left:18;top:18;height:20;width:6590;" filled="f" stroked="t" coordsize="6590,20" o:gfxdata="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P/yq8AAAA&#10;2wAAAA8AAAAAAAAAAQAgAAAAIgAAAGRycy9kb3ducmV2LnhtbFBLAQIUABQAAAAIAIdO4kAzLwWe&#10;OwAAADkAAAAQAAAAAAAAAAEAIAAAAAsBAABkcnMvc2hhcGV4bWwueG1sUEsFBgAAAAAGAAYAWwEA&#10;ALUDAAAAAA==&#10;" path="m0,0l6590,0e">
                  <v:fill on="f" focussize="0,0"/>
                  <v:stroke weight="1.83897637795276pt" color="#0070C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3847465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0C613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1.1pt;margin-top:302.95pt;height:17.4pt;width:238.25pt;z-index:251660288;mso-width-relative:page;mso-height-relative:page;" fillcolor="#FFFFFF" filled="t" stroked="f" coordsize="21600,21600" o:gfxdata="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uKDIzNgAAAAJ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670C613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3460115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2966085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63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1257935</wp:posOffset>
                </wp:positionH>
                <wp:positionV relativeFrom="paragraph">
                  <wp:posOffset>3417570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9056C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084F3ED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99.05pt;margin-top:269.1pt;height:24.85pt;width:138.4pt;z-index:251666432;mso-width-relative:page;mso-height-relative:page;" fillcolor="#FFFFFF" filled="t" stroked="f" coordsize="21600,21600" o:gfxdata="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UPZLjZAAAACwEAAA8AAAAAAAAAAQAg&#10;AAAAIgAAAGRycy9kb3ducmV2LnhtbFBLAQIUABQAAAAIAIdO4kBlRY9c1AEAAKMDAAAOAAAAAAAA&#10;AAEAIAAAACgBAABkcnMvZTJvRG9jLnhtbFBLBQYAAAAABgAGAFkBAABuBQAAAAA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289056C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084F3ED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4" w:type="default"/>
      <w:footerReference r:id="rId36" w:type="default"/>
      <w:headerReference r:id="rId35" w:type="even"/>
      <w:footerReference r:id="rId37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entury Gothic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经典黑体简">
    <w:altName w:val="汉仪中黑KW"/>
    <w:panose1 w:val="00000000000000000000"/>
    <w:charset w:val="86"/>
    <w:family w:val="modern"/>
    <w:pitch w:val="default"/>
    <w:sig w:usb0="00000000" w:usb1="00000000" w:usb2="0000001E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42EF2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91C40">
    <w:pPr>
      <w:pStyle w:val="8"/>
      <w:ind w:left="0" w:leftChars="0" w:firstLine="0" w:firstLineChars="0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1" name="组合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NrJkA1gAAAAQBAAAPAAAAAAAAAAEAIAAAACIAAABkcnMvZG93bnJldi54bWxQSwECFAAUAAAA&#10;CACHTuJA/UYJCtQCAABjCAAADgAAAAAAAAABACAAAAAlAQAAZHJzL2Uyb0RvYy54bWxQSwUGAAAA&#10;AAYABgBZAQAAawYAAAAA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A92CB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8AD56F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8AD56F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E6582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CB86F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CB86F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2D34EC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2D34EC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2AE6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524ED4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524ED4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777D4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30DD8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30DD8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CB3DF7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E1EB8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E1EB8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F8F28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B2A9A3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B2A9A3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B7AF1">
    <w:pPr>
      <w:pStyle w:val="8"/>
    </w:pPr>
    <w:r>
      <w:rPr>
        <w:sz w:val="3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166F0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R3mOY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GJYRoVv3z/dvnx&#10;6/LzK8EZBKpdmCNu5xAZm7e2QdsM5wGHiXdTep2+YETgB9b5Kq9oIuHp0mw6m43h4vANG+Bnj9ed&#10;D/GdsJokI6ce9WtlZadtiF3oEJKyGbuRSrU1VIbUOb15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1HeY5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F166F0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6.5pt;height:6pt;width:240.95pt;z-index:251661312;mso-width-relative:page;mso-height-relative:page;" coordorigin="18,18" coordsize="6590,20" o:gfxdata="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Nar1ob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C6BC7">
    <w:pPr>
      <w:pStyle w:val="8"/>
      <w:spacing w:after="72"/>
      <w:ind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4B7D4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5E53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49407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CECBC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7C1F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903CD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6465D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AC92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 w:eastAsiaTheme="minor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2B422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5E74C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DA7A4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1C54B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安装与使用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36738">
    <w:pPr>
      <w:pStyle w:val="9"/>
      <w:pBdr>
        <w:bottom w:val="single" w:color="auto" w:sz="4" w:space="0"/>
      </w:pBdr>
      <w:wordWrap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F2234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87008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9FD9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572CAA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6100E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2F303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D7AA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2C236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C0023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5AD03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AE8ADB1C"/>
    <w:multiLevelType w:val="singleLevel"/>
    <w:tmpl w:val="AE8ADB1C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3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4">
    <w:nsid w:val="C1355C66"/>
    <w:multiLevelType w:val="singleLevel"/>
    <w:tmpl w:val="C1355C66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E0354648"/>
    <w:multiLevelType w:val="singleLevel"/>
    <w:tmpl w:val="E0354648"/>
    <w:lvl w:ilvl="0" w:tentative="0">
      <w:start w:val="1"/>
      <w:numFmt w:val="decimal"/>
      <w:suff w:val="nothing"/>
      <w:lvlText w:val="（%1）"/>
      <w:lvlJc w:val="left"/>
    </w:lvl>
  </w:abstractNum>
  <w:abstractNum w:abstractNumId="6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7">
    <w:nsid w:val="0DA1AF35"/>
    <w:multiLevelType w:val="singleLevel"/>
    <w:tmpl w:val="0DA1AF3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9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0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11">
    <w:nsid w:val="49CFF671"/>
    <w:multiLevelType w:val="singleLevel"/>
    <w:tmpl w:val="49CFF671"/>
    <w:lvl w:ilvl="0" w:tentative="0">
      <w:start w:val="1"/>
      <w:numFmt w:val="decimal"/>
      <w:suff w:val="nothing"/>
      <w:lvlText w:val="（%1）"/>
      <w:lvlJc w:val="left"/>
    </w:lvl>
  </w:abstractNum>
  <w:abstractNum w:abstractNumId="12">
    <w:nsid w:val="4AFC7411"/>
    <w:multiLevelType w:val="singleLevel"/>
    <w:tmpl w:val="4AFC7411"/>
    <w:lvl w:ilvl="0" w:tentative="0">
      <w:start w:val="1"/>
      <w:numFmt w:val="decimal"/>
      <w:suff w:val="nothing"/>
      <w:lvlText w:val="（%1）"/>
      <w:lvlJc w:val="left"/>
    </w:lvl>
  </w:abstractNum>
  <w:abstractNum w:abstractNumId="13">
    <w:nsid w:val="529F1534"/>
    <w:multiLevelType w:val="singleLevel"/>
    <w:tmpl w:val="529F153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65A96007"/>
    <w:multiLevelType w:val="singleLevel"/>
    <w:tmpl w:val="65A9600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5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4"/>
  </w:num>
  <w:num w:numId="10">
    <w:abstractNumId w:val="1"/>
  </w:num>
  <w:num w:numId="11">
    <w:abstractNumId w:val="12"/>
  </w:num>
  <w:num w:numId="12">
    <w:abstractNumId w:val="5"/>
  </w:num>
  <w:num w:numId="13">
    <w:abstractNumId w:val="13"/>
  </w:num>
  <w:num w:numId="14">
    <w:abstractNumId w:val="7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0E3651"/>
    <w:rsid w:val="016D1607"/>
    <w:rsid w:val="03630182"/>
    <w:rsid w:val="03870C59"/>
    <w:rsid w:val="05812B41"/>
    <w:rsid w:val="063C2A27"/>
    <w:rsid w:val="069E423A"/>
    <w:rsid w:val="072F4F4B"/>
    <w:rsid w:val="08437A19"/>
    <w:rsid w:val="0892013F"/>
    <w:rsid w:val="08D32307"/>
    <w:rsid w:val="0A646C7E"/>
    <w:rsid w:val="0B734C98"/>
    <w:rsid w:val="0E0F1632"/>
    <w:rsid w:val="0E121D8E"/>
    <w:rsid w:val="0E751CC7"/>
    <w:rsid w:val="0E8E7BE4"/>
    <w:rsid w:val="0EBD5EF0"/>
    <w:rsid w:val="0F430E61"/>
    <w:rsid w:val="0F7B1F2F"/>
    <w:rsid w:val="0FA21F87"/>
    <w:rsid w:val="101A7019"/>
    <w:rsid w:val="10822D43"/>
    <w:rsid w:val="1174359A"/>
    <w:rsid w:val="11EA5DC8"/>
    <w:rsid w:val="12BC340B"/>
    <w:rsid w:val="13F422A1"/>
    <w:rsid w:val="14A86F74"/>
    <w:rsid w:val="158A3C94"/>
    <w:rsid w:val="16F50A9F"/>
    <w:rsid w:val="1ABD5F72"/>
    <w:rsid w:val="1B99078D"/>
    <w:rsid w:val="1C912B6A"/>
    <w:rsid w:val="1E285DF8"/>
    <w:rsid w:val="1FB91598"/>
    <w:rsid w:val="1FD426AE"/>
    <w:rsid w:val="203901FA"/>
    <w:rsid w:val="203B5995"/>
    <w:rsid w:val="222B1769"/>
    <w:rsid w:val="22B468A5"/>
    <w:rsid w:val="25380D99"/>
    <w:rsid w:val="257F7757"/>
    <w:rsid w:val="281547B3"/>
    <w:rsid w:val="28F72F97"/>
    <w:rsid w:val="299E171E"/>
    <w:rsid w:val="2A126149"/>
    <w:rsid w:val="2BD97BCC"/>
    <w:rsid w:val="2C33629D"/>
    <w:rsid w:val="2D40078D"/>
    <w:rsid w:val="306D74E0"/>
    <w:rsid w:val="30BD34B2"/>
    <w:rsid w:val="31483202"/>
    <w:rsid w:val="31C64BB0"/>
    <w:rsid w:val="32140715"/>
    <w:rsid w:val="324441C8"/>
    <w:rsid w:val="32AC70A5"/>
    <w:rsid w:val="32BC7672"/>
    <w:rsid w:val="32EA651B"/>
    <w:rsid w:val="354A005F"/>
    <w:rsid w:val="35C47CDD"/>
    <w:rsid w:val="36406F2D"/>
    <w:rsid w:val="36EF166D"/>
    <w:rsid w:val="377C2217"/>
    <w:rsid w:val="39C3314D"/>
    <w:rsid w:val="39EB140E"/>
    <w:rsid w:val="3B182ADC"/>
    <w:rsid w:val="3C3814A4"/>
    <w:rsid w:val="3CDE7541"/>
    <w:rsid w:val="3CEB33F8"/>
    <w:rsid w:val="3D7F382F"/>
    <w:rsid w:val="3E251EC1"/>
    <w:rsid w:val="3FCC4001"/>
    <w:rsid w:val="406D219C"/>
    <w:rsid w:val="43257C09"/>
    <w:rsid w:val="4337057B"/>
    <w:rsid w:val="433E7700"/>
    <w:rsid w:val="44A15CA4"/>
    <w:rsid w:val="458750A0"/>
    <w:rsid w:val="47CD163B"/>
    <w:rsid w:val="482D0EBE"/>
    <w:rsid w:val="48320D42"/>
    <w:rsid w:val="48A779B6"/>
    <w:rsid w:val="48FD47D9"/>
    <w:rsid w:val="49660E46"/>
    <w:rsid w:val="499626E6"/>
    <w:rsid w:val="4AD94B37"/>
    <w:rsid w:val="4B0542B3"/>
    <w:rsid w:val="4B570322"/>
    <w:rsid w:val="4C0E1A31"/>
    <w:rsid w:val="4C7A0C69"/>
    <w:rsid w:val="4E0336C0"/>
    <w:rsid w:val="4FD60865"/>
    <w:rsid w:val="50735531"/>
    <w:rsid w:val="53E27924"/>
    <w:rsid w:val="53F71FB7"/>
    <w:rsid w:val="54DC7CC1"/>
    <w:rsid w:val="55B957E6"/>
    <w:rsid w:val="5922193C"/>
    <w:rsid w:val="59AA5F42"/>
    <w:rsid w:val="5A124F02"/>
    <w:rsid w:val="5B53224B"/>
    <w:rsid w:val="5E304F6C"/>
    <w:rsid w:val="5E4467F8"/>
    <w:rsid w:val="5E641A3D"/>
    <w:rsid w:val="5E8B2479"/>
    <w:rsid w:val="5F555D83"/>
    <w:rsid w:val="5FD3241A"/>
    <w:rsid w:val="5FDA100E"/>
    <w:rsid w:val="60D4713E"/>
    <w:rsid w:val="620449AF"/>
    <w:rsid w:val="63A177AC"/>
    <w:rsid w:val="65586288"/>
    <w:rsid w:val="65DF0783"/>
    <w:rsid w:val="66DE0B3A"/>
    <w:rsid w:val="671F29FF"/>
    <w:rsid w:val="68C42938"/>
    <w:rsid w:val="68F8663B"/>
    <w:rsid w:val="6A2E60C6"/>
    <w:rsid w:val="6B2F5EBA"/>
    <w:rsid w:val="6BDE2736"/>
    <w:rsid w:val="6C1825D5"/>
    <w:rsid w:val="6C6F4534"/>
    <w:rsid w:val="6E664271"/>
    <w:rsid w:val="6F386377"/>
    <w:rsid w:val="6F4D1369"/>
    <w:rsid w:val="72BD7A32"/>
    <w:rsid w:val="734B7749"/>
    <w:rsid w:val="754859E7"/>
    <w:rsid w:val="75696AA7"/>
    <w:rsid w:val="77D32CD8"/>
    <w:rsid w:val="7A5C270A"/>
    <w:rsid w:val="7FD4BBFF"/>
    <w:rsid w:val="BFFF7609"/>
    <w:rsid w:val="DB6DD6B1"/>
    <w:rsid w:val="F3AFE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header" Target="header1.xml"/><Relationship Id="rId7" Type="http://schemas.openxmlformats.org/officeDocument/2006/relationships/footer" Target="footer3.xml"/><Relationship Id="rId66" Type="http://schemas.openxmlformats.org/officeDocument/2006/relationships/fontTable" Target="fontTable.xml"/><Relationship Id="rId65" Type="http://schemas.openxmlformats.org/officeDocument/2006/relationships/numbering" Target="numbering.xml"/><Relationship Id="rId64" Type="http://schemas.openxmlformats.org/officeDocument/2006/relationships/customXml" Target="../customXml/item1.xml"/><Relationship Id="rId63" Type="http://schemas.openxmlformats.org/officeDocument/2006/relationships/image" Target="media/image25.jpeg"/><Relationship Id="rId62" Type="http://schemas.openxmlformats.org/officeDocument/2006/relationships/image" Target="media/image24.png"/><Relationship Id="rId61" Type="http://schemas.openxmlformats.org/officeDocument/2006/relationships/image" Target="media/image23.png"/><Relationship Id="rId60" Type="http://schemas.openxmlformats.org/officeDocument/2006/relationships/image" Target="media/image22.png"/><Relationship Id="rId6" Type="http://schemas.openxmlformats.org/officeDocument/2006/relationships/footer" Target="footer2.xml"/><Relationship Id="rId59" Type="http://schemas.openxmlformats.org/officeDocument/2006/relationships/image" Target="media/image21.png"/><Relationship Id="rId58" Type="http://schemas.openxmlformats.org/officeDocument/2006/relationships/image" Target="media/image20.png"/><Relationship Id="rId57" Type="http://schemas.openxmlformats.org/officeDocument/2006/relationships/image" Target="media/image19.png"/><Relationship Id="rId56" Type="http://schemas.openxmlformats.org/officeDocument/2006/relationships/image" Target="media/image18.png"/><Relationship Id="rId55" Type="http://schemas.openxmlformats.org/officeDocument/2006/relationships/image" Target="media/image17.png"/><Relationship Id="rId54" Type="http://schemas.openxmlformats.org/officeDocument/2006/relationships/image" Target="media/image16.png"/><Relationship Id="rId53" Type="http://schemas.openxmlformats.org/officeDocument/2006/relationships/image" Target="media/image15.png"/><Relationship Id="rId52" Type="http://schemas.openxmlformats.org/officeDocument/2006/relationships/image" Target="media/image14.png"/><Relationship Id="rId51" Type="http://schemas.openxmlformats.org/officeDocument/2006/relationships/image" Target="media/image13.png"/><Relationship Id="rId50" Type="http://schemas.openxmlformats.org/officeDocument/2006/relationships/image" Target="media/image12.png"/><Relationship Id="rId5" Type="http://schemas.openxmlformats.org/officeDocument/2006/relationships/footer" Target="footer1.xml"/><Relationship Id="rId49" Type="http://schemas.openxmlformats.org/officeDocument/2006/relationships/image" Target="media/image11.png"/><Relationship Id="rId48" Type="http://schemas.openxmlformats.org/officeDocument/2006/relationships/image" Target="media/image10.png"/><Relationship Id="rId47" Type="http://schemas.openxmlformats.org/officeDocument/2006/relationships/image" Target="media/image9.png"/><Relationship Id="rId46" Type="http://schemas.openxmlformats.org/officeDocument/2006/relationships/image" Target="media/image8.png"/><Relationship Id="rId45" Type="http://schemas.openxmlformats.org/officeDocument/2006/relationships/image" Target="media/image7.png"/><Relationship Id="rId44" Type="http://schemas.openxmlformats.org/officeDocument/2006/relationships/image" Target="media/image6.png"/><Relationship Id="rId43" Type="http://schemas.openxmlformats.org/officeDocument/2006/relationships/image" Target="media/image5.png"/><Relationship Id="rId42" Type="http://schemas.openxmlformats.org/officeDocument/2006/relationships/image" Target="media/image4.png"/><Relationship Id="rId41" Type="http://schemas.openxmlformats.org/officeDocument/2006/relationships/image" Target="media/image3.png"/><Relationship Id="rId40" Type="http://schemas.openxmlformats.org/officeDocument/2006/relationships/image" Target="media/image2.png"/><Relationship Id="rId4" Type="http://schemas.openxmlformats.org/officeDocument/2006/relationships/endnotes" Target="endnotes.xml"/><Relationship Id="rId39" Type="http://schemas.openxmlformats.org/officeDocument/2006/relationships/image" Target="media/image1.png"/><Relationship Id="rId38" Type="http://schemas.openxmlformats.org/officeDocument/2006/relationships/theme" Target="theme/theme1.xml"/><Relationship Id="rId37" Type="http://schemas.openxmlformats.org/officeDocument/2006/relationships/footer" Target="footer10.xml"/><Relationship Id="rId36" Type="http://schemas.openxmlformats.org/officeDocument/2006/relationships/footer" Target="footer9.xml"/><Relationship Id="rId35" Type="http://schemas.openxmlformats.org/officeDocument/2006/relationships/header" Target="header23.xml"/><Relationship Id="rId34" Type="http://schemas.openxmlformats.org/officeDocument/2006/relationships/header" Target="header22.xml"/><Relationship Id="rId33" Type="http://schemas.openxmlformats.org/officeDocument/2006/relationships/header" Target="header21.xml"/><Relationship Id="rId32" Type="http://schemas.openxmlformats.org/officeDocument/2006/relationships/header" Target="header20.xml"/><Relationship Id="rId31" Type="http://schemas.openxmlformats.org/officeDocument/2006/relationships/header" Target="header19.xml"/><Relationship Id="rId30" Type="http://schemas.openxmlformats.org/officeDocument/2006/relationships/header" Target="header18.xml"/><Relationship Id="rId3" Type="http://schemas.openxmlformats.org/officeDocument/2006/relationships/footnotes" Target="footnotes.xml"/><Relationship Id="rId29" Type="http://schemas.openxmlformats.org/officeDocument/2006/relationships/header" Target="header17.xml"/><Relationship Id="rId28" Type="http://schemas.openxmlformats.org/officeDocument/2006/relationships/header" Target="header16.xml"/><Relationship Id="rId27" Type="http://schemas.openxmlformats.org/officeDocument/2006/relationships/header" Target="header15.xml"/><Relationship Id="rId26" Type="http://schemas.openxmlformats.org/officeDocument/2006/relationships/header" Target="header14.xml"/><Relationship Id="rId25" Type="http://schemas.openxmlformats.org/officeDocument/2006/relationships/header" Target="header13.xml"/><Relationship Id="rId24" Type="http://schemas.openxmlformats.org/officeDocument/2006/relationships/header" Target="header12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footer" Target="footer7.xml"/><Relationship Id="rId20" Type="http://schemas.openxmlformats.org/officeDocument/2006/relationships/header" Target="header10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35</Pages>
  <Words>3317</Words>
  <Characters>3810</Characters>
  <Lines>0</Lines>
  <Paragraphs>0</Paragraphs>
  <TotalTime>0</TotalTime>
  <ScaleCrop>false</ScaleCrop>
  <LinksUpToDate>false</LinksUpToDate>
  <CharactersWithSpaces>3896</CharactersWithSpaces>
  <Application>WPS Office WWO_feishu_20241028185521-3ecd29d096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2024-01-16T23:10:00Z</dcterms:created>
  <dc:creator>JGX</dc:creator>
  <cp:lastModifiedBy>WPS_1642035961</cp:lastModifiedBy>
  <dcterms:modified xsi:type="dcterms:W3CDTF">2026-02-28T14:46:16Z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C389BCB00CEFC7AD388FA269432BA9F1_43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