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E4A39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-215900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-139065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E4D2EC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10.95pt;height:14.75pt;width:128.85pt;z-index:251662336;mso-width-relative:page;mso-height-relative:page;" fillcolor="#FFFFFF" filled="t" stroked="f" coordsize="21600,21600" o:gfxdata="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Hd8EPNcAAAAHAQAADwAAAAAAAAABACAAAAAiAAAA&#10;ZHJzL2Rvd25yZXYueG1sUEsBAhQAFAAAAAgAh07iQHiBe/HPAQAAmw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0E4D2EC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inline distT="0" distB="0" distL="114300" distR="114300">
                <wp:extent cx="3060065" cy="76200"/>
                <wp:effectExtent l="0" t="11430" r="6985" b="0"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M2smQDW&#10;AAAABAEAAA8AAAAAAAAAAQAgAAAAIgAAAGRycy9kb3ducmV2LnhtbFBLAQIUABQAAAAIAIdO4kD4&#10;2oWqzQIAAF8IAAAOAAAAAAAAAAEAIAAAACUBAABkcnMvZTJvRG9jLnhtbFBLBQYAAAAABgAGAFkB&#10;AABkBgAAAAA=&#10;">
                <o:lock v:ext="edit" aspectratio="f"/>
                <v:shape id="_x0000_s1026" o:spid="_x0000_s1026" o:spt="100" style="position:absolute;left:24;top:18;height:20;width:6578;" filled="f" stroked="t" coordsize="6578,20" o:gfxdata="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M02j25AAAA2gAA&#10;AA8AAAAAAAAAAQAgAAAAIgAAAGRycy9kb3ducmV2LnhtbFBLAQIUABQAAAAIAIdO4kAzLwWeOwAA&#10;ADkAAAAQAAAAAAAAAAEAIAAAAAgBAABkcnMvc2hhcGV4bWwueG1sUEsFBgAAAAAGAAYAWwEAALID&#10;AAAAAA=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_x0000_s1026" o:spid="_x0000_s1026" o:spt="100" style="position:absolute;left:18;top:18;height:20;width:6590;" filled="f" stroked="t" coordsize="6590,20" o:gfxdata="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q57TugAAANoA&#10;AAAPAAAAAAAAAAEAIAAAACIAAABkcnMvZG93bnJldi54bWxQSwECFAAUAAAACACHTuJAMy8FnjsA&#10;AAA5AAAAEAAAAAAAAAABACAAAAAJAQAAZHJzL3NoYXBleG1sLnhtbFBLBQYAAAAABgAGAFsBAACz&#10;AwAAAAA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5AAB9356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19396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氨氮变送器</w:t>
      </w:r>
      <w:bookmarkEnd w:id="0"/>
    </w:p>
    <w:p w14:paraId="16FCDAD5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240" w:lineRule="auto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WE-T124使用说明书</w:t>
      </w:r>
    </w:p>
    <w:p w14:paraId="03D33FC0"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1449705</wp:posOffset>
            </wp:positionH>
            <wp:positionV relativeFrom="paragraph">
              <wp:posOffset>53340</wp:posOffset>
            </wp:positionV>
            <wp:extent cx="1125855" cy="1656080"/>
            <wp:effectExtent l="0" t="0" r="0" b="0"/>
            <wp:wrapNone/>
            <wp:docPr id="17" name="图片 17" descr="C:/Users/shuttle/Desktop/产品图片/T124-LR-DC24.pngT124-LR-DC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shuttle/Desktop/产品图片/T124-LR-DC24.pngT124-LR-DC24"/>
                    <pic:cNvPicPr>
                      <a:picLocks noChangeAspect="1"/>
                    </pic:cNvPicPr>
                  </pic:nvPicPr>
                  <pic:blipFill>
                    <a:blip r:embed="rId40"/>
                    <a:srcRect t="959" b="959"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53340</wp:posOffset>
            </wp:positionV>
            <wp:extent cx="1125855" cy="1656080"/>
            <wp:effectExtent l="0" t="0" r="0" b="0"/>
            <wp:wrapNone/>
            <wp:docPr id="13" name="图片 13" descr="C:/Users/shuttle/Desktop/产品图片/T124-LR.pngT124-L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shuttle/Desktop/产品图片/T124-LR.pngT124-LR"/>
                    <pic:cNvPicPr>
                      <a:picLocks noChangeAspect="1"/>
                    </pic:cNvPicPr>
                  </pic:nvPicPr>
                  <pic:blipFill>
                    <a:blip r:embed="rId41"/>
                    <a:srcRect t="959" b="959"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EB3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eastAsia="宋体"/>
          <w:lang w:eastAsia="zh-CN"/>
        </w:rPr>
      </w:pPr>
    </w:p>
    <w:p w14:paraId="50D56301"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6756400</wp:posOffset>
                </wp:positionV>
                <wp:extent cx="4260215" cy="220980"/>
                <wp:effectExtent l="0" t="0" r="6985" b="762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C6A72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</w:rPr>
                              <w:t>杭州美仪自动化有限公司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-SUP-MP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-C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/ULS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-B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Arial" w:hAnsi="Arial" w:eastAsia="宋体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CN</w:t>
                            </w:r>
                            <w:r>
                              <w:rPr>
                                <w:rFonts w:hint="default" w:ascii="Arial" w:hAnsi="Arial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5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532pt;height:17.4pt;width:335.45pt;z-index:251663360;mso-width-relative:page;mso-height-relative:page;" fillcolor="#FFFFFF" filled="t" stroked="f" coordsize="21600,21600" o:gfxdata="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9HbC2QAAAAwBAAAPAAAAAAAAAAEA&#10;IAAAACIAAABkcnMvZG93bnJldi54bWxQSwECFAAUAAAACACHTuJAafKe89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3C6A72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</w:rPr>
                        <w:t>杭州美仪自动化有限公司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-SUP-MP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-C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/ULS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-B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Arial" w:hAnsi="Arial" w:eastAsia="宋体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CN</w:t>
                      </w:r>
                      <w:r>
                        <w:rPr>
                          <w:rFonts w:hint="default" w:ascii="Arial" w:hAnsi="Arial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96C9D08">
      <w:pPr>
        <w:spacing w:line="240" w:lineRule="auto"/>
      </w:pPr>
    </w:p>
    <w:p w14:paraId="5585EF8E"/>
    <w:p w14:paraId="7B84DCAA"/>
    <w:p w14:paraId="481A7CB0"/>
    <w:p w14:paraId="4CAC5D83"/>
    <w:p w14:paraId="733D9116"/>
    <w:p w14:paraId="57FFEFA1"/>
    <w:p w14:paraId="7454507A">
      <w:pPr>
        <w:ind w:left="0" w:leftChars="0" w:firstLine="0" w:firstLineChars="0"/>
      </w:pPr>
    </w:p>
    <w:p w14:paraId="080A94F3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646430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22795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eastAsia" w:ascii="Arial" w:hAnsi="Arial" w:eastAsia="宋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T124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.65pt;margin-top:50.9pt;height:21.65pt;width:234.8pt;z-index:251664384;mso-width-relative:page;mso-height-relative:page;" fillcolor="#FFFFFF" filled="t" stroked="f" coordsize="21600,21600" o:gfxdata="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TV1KSNcAAAAJAQAADwAAAAAAAAABACAA&#10;AAAiAAAAZHJzL2Rvd25yZXYueG1sUEsBAhQAFAAAAAgAh07iQBTL11nVAQAAow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4022795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eastAsia" w:ascii="Arial" w:hAnsi="Arial" w:eastAsia="宋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T124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8B88C65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footerReference r:id="rId6" w:type="first"/>
          <w:footerReference r:id="rId5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</w:p>
    <w:p w14:paraId="3C36ECC5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29297"/>
      <w:bookmarkStart w:id="2" w:name="_Toc12294"/>
      <w:bookmarkStart w:id="3" w:name="_Toc7003"/>
      <w:bookmarkStart w:id="4" w:name="_Toc11653"/>
      <w:bookmarkStart w:id="5" w:name="_Toc12915"/>
      <w:bookmarkStart w:id="6" w:name="_Toc7640"/>
      <w:bookmarkStart w:id="7" w:name="_Toc21437"/>
      <w:bookmarkStart w:id="8" w:name="_Toc17598"/>
      <w:bookmarkStart w:id="9" w:name="_Toc29143"/>
      <w:bookmarkStart w:id="10" w:name="_Toc41996141"/>
      <w:bookmarkStart w:id="11" w:name="_Toc5895"/>
      <w:bookmarkStart w:id="12" w:name="_Toc30858"/>
      <w:bookmarkStart w:id="13" w:name="_Toc2551"/>
      <w:bookmarkStart w:id="14" w:name="_Toc15930"/>
      <w:bookmarkStart w:id="15" w:name="_Toc5581"/>
      <w:bookmarkStart w:id="16" w:name="_Toc26903"/>
      <w:bookmarkStart w:id="17" w:name="_Toc7823"/>
      <w:bookmarkStart w:id="18" w:name="_Toc15832"/>
      <w:bookmarkStart w:id="19" w:name="_Toc2326"/>
      <w:bookmarkStart w:id="20" w:name="_Toc18067"/>
      <w:bookmarkStart w:id="21" w:name="_Toc16992"/>
      <w:bookmarkStart w:id="22" w:name="_Toc30832"/>
      <w:bookmarkStart w:id="23" w:name="_Toc3490"/>
      <w:bookmarkStart w:id="24" w:name="_Toc10628"/>
      <w:bookmarkStart w:id="25" w:name="_Toc22939"/>
      <w:bookmarkStart w:id="26" w:name="_Toc20964"/>
      <w:bookmarkStart w:id="27" w:name="_Toc4151"/>
      <w:bookmarkStart w:id="28" w:name="_Toc28135"/>
      <w:bookmarkStart w:id="29" w:name="_Toc29042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5211F1A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2A253802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9267"/>
      <w:bookmarkStart w:id="31" w:name="_Toc2799"/>
      <w:bookmarkStart w:id="32" w:name="_Toc18036"/>
      <w:bookmarkStart w:id="33" w:name="_Toc23414"/>
      <w:bookmarkStart w:id="34" w:name="_Toc17441"/>
      <w:bookmarkStart w:id="35" w:name="_Toc1089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3A1A8BC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56B11ADF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13604"/>
      <w:bookmarkStart w:id="37" w:name="_Toc30640"/>
      <w:bookmarkStart w:id="38" w:name="_Toc27291"/>
      <w:bookmarkStart w:id="39" w:name="_Toc25155"/>
      <w:bookmarkStart w:id="40" w:name="_Toc20946"/>
      <w:bookmarkStart w:id="41" w:name="_Toc8275"/>
      <w:bookmarkStart w:id="42" w:name="_Toc3613"/>
      <w:bookmarkStart w:id="43" w:name="_Toc6050"/>
      <w:bookmarkStart w:id="44" w:name="_Toc31942"/>
      <w:bookmarkStart w:id="45" w:name="_Toc14195"/>
      <w:bookmarkStart w:id="46" w:name="_Toc15493"/>
      <w:bookmarkStart w:id="47" w:name="_Toc27948"/>
      <w:bookmarkStart w:id="48" w:name="_Toc25903"/>
      <w:bookmarkStart w:id="49" w:name="_Toc41996142"/>
      <w:bookmarkStart w:id="50" w:name="_Toc27473"/>
      <w:bookmarkStart w:id="51" w:name="_Toc7143"/>
      <w:bookmarkStart w:id="52" w:name="_Toc12883"/>
      <w:bookmarkStart w:id="53" w:name="_Toc30766"/>
      <w:bookmarkStart w:id="54" w:name="_Toc29781"/>
      <w:bookmarkStart w:id="55" w:name="_Toc116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4BC39992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24285"/>
      <w:bookmarkStart w:id="57" w:name="_Toc6181"/>
      <w:bookmarkStart w:id="58" w:name="_Toc32096"/>
      <w:bookmarkStart w:id="59" w:name="_Toc2253"/>
      <w:bookmarkStart w:id="60" w:name="_Toc21225"/>
      <w:bookmarkStart w:id="61" w:name="_Toc18559"/>
      <w:bookmarkStart w:id="62" w:name="_Toc9947"/>
      <w:bookmarkStart w:id="63" w:name="_Toc19503"/>
      <w:bookmarkStart w:id="64" w:name="_Toc8121"/>
      <w:bookmarkStart w:id="65" w:name="_Toc29408"/>
      <w:bookmarkStart w:id="66" w:name="_Toc41996143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6B92E04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29DE1D8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75BB2D3B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0C0D2ED7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5685"/>
      <w:bookmarkStart w:id="68" w:name="_Toc10737"/>
      <w:bookmarkStart w:id="69" w:name="_Toc8382"/>
      <w:bookmarkStart w:id="70" w:name="_Toc10100"/>
      <w:bookmarkStart w:id="71" w:name="_Toc2697"/>
      <w:bookmarkStart w:id="72" w:name="_Toc24374"/>
      <w:bookmarkStart w:id="73" w:name="_Toc17019"/>
      <w:bookmarkStart w:id="74" w:name="_Toc23281"/>
      <w:bookmarkStart w:id="75" w:name="_Toc16368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7F4E9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T124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cs="Times New Roman"/>
          <w:szCs w:val="18"/>
          <w:lang w:val="en-US" w:eastAsia="zh-CN"/>
        </w:rPr>
        <w:t>二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0C5C7A8A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28565"/>
      <w:bookmarkStart w:id="77" w:name="_Toc27219"/>
      <w:bookmarkStart w:id="78" w:name="_Toc14420"/>
      <w:bookmarkStart w:id="79" w:name="_Toc20359"/>
      <w:bookmarkStart w:id="80" w:name="_Toc15579"/>
      <w:bookmarkStart w:id="81" w:name="_Toc30788"/>
      <w:bookmarkStart w:id="82" w:name="_Toc24243"/>
      <w:bookmarkStart w:id="83" w:name="_Toc706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53DD77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3184B5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5B937AD9">
      <w:pPr>
        <w:ind w:firstLine="0" w:firstLineChars="0"/>
        <w:jc w:val="center"/>
        <w:rPr>
          <w:rFonts w:hint="default" w:eastAsia="宋体" w:cs="Times New Roman"/>
          <w:lang w:val="en-US" w:eastAsia="zh-CN"/>
        </w:rPr>
      </w:pPr>
      <w:r>
        <w:rPr>
          <w:rFonts w:hint="eastAsia" w:eastAsia="宋体" w:cs="Times New Roman"/>
          <w:szCs w:val="18"/>
        </w:rPr>
        <w:t>产品</w:t>
      </w:r>
      <w:r>
        <w:rPr>
          <w:rFonts w:hint="eastAsia" w:eastAsia="宋体" w:cs="Times New Roman"/>
          <w:szCs w:val="18"/>
          <w:lang w:val="en-US" w:eastAsia="zh-CN"/>
        </w:rPr>
        <w:t>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65D8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05561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C9150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222AF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0E4E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备注</w:t>
            </w:r>
          </w:p>
        </w:tc>
      </w:tr>
      <w:tr w14:paraId="34E7B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6D97E3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259C4A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氨氮变送器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23155C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C0124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418EA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4595E9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  <w:r>
              <w:rPr>
                <w:rFonts w:hint="default" w:eastAsia="宋体" w:cs="Times New Roman"/>
                <w:szCs w:val="18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4FC6E9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420F7B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7B54CF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28A32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D0CE2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701244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00D2AD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288AF0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  <w:tr w14:paraId="77919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BA375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2399E4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0566E7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2D1D32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360"/>
              <w:jc w:val="center"/>
              <w:textAlignment w:val="auto"/>
              <w:rPr>
                <w:rFonts w:hint="default" w:eastAsia="宋体" w:cs="Times New Roman"/>
                <w:szCs w:val="18"/>
              </w:rPr>
            </w:pPr>
          </w:p>
        </w:tc>
      </w:tr>
    </w:tbl>
    <w:p w14:paraId="4C5CA2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752D2C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95687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30030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90C06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5643A2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B8C0F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7867F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65666D51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44"/>
              <w:sz w:val="24"/>
              <w:szCs w:val="44"/>
              <w:lang w:val="en-US" w:eastAsia="zh-CN" w:bidi="ar-SA"/>
            </w:rPr>
          </w:pPr>
          <w:bookmarkStart w:id="84" w:name="_Toc16875"/>
          <w:bookmarkStart w:id="85" w:name="_Toc8158"/>
          <w:bookmarkStart w:id="86" w:name="_Toc1218"/>
          <w:bookmarkStart w:id="87" w:name="_Toc26604"/>
          <w:bookmarkStart w:id="88" w:name="_Toc17902"/>
          <w:bookmarkStart w:id="89" w:name="_Toc24272"/>
          <w:bookmarkStart w:id="90" w:name="_Toc19467_WPSOffice_Level1"/>
          <w:bookmarkStart w:id="91" w:name="_Toc29456_WPSOffice_Level1"/>
          <w:bookmarkStart w:id="92" w:name="_Toc21763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bookmarkEnd w:id="89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56F25AD7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_Toc19396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氨氮变送器</w:t>
          </w:r>
          <w:r>
            <w:tab/>
          </w:r>
          <w:r>
            <w:fldChar w:fldCharType="begin"/>
          </w:r>
          <w:r>
            <w:instrText xml:space="preserve"> PAGEREF _Toc19396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F374F8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_Toc15832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_Toc15832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BCAF0F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_Toc31942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_Toc31942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8023F4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_Toc16368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_Toc16368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B26D25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_Toc30788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_Toc30788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03916E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_Toc1218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/>
              <w:bCs/>
              <w:szCs w:val="24"/>
            </w:rPr>
            <w:t>目录</w:t>
          </w:r>
          <w:r>
            <w:tab/>
          </w:r>
          <w:r>
            <w:fldChar w:fldCharType="begin"/>
          </w:r>
          <w:r>
            <w:instrText xml:space="preserve"> PAGEREF _Toc1218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42E1CE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_Toc19978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_Toc19978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916CC4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_Toc14426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_Toc14426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44E893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_Toc12187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_Toc12187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823CE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_Toc19767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_Toc19767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CC3A78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_Toc14459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_Toc14459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96D39D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_Toc32731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_Toc32731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8D8A0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_Toc19943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_Toc19943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813C79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_Toc30768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过程连接</w:t>
          </w:r>
          <w:r>
            <w:tab/>
          </w:r>
          <w:r>
            <w:fldChar w:fldCharType="begin"/>
          </w:r>
          <w:r>
            <w:instrText xml:space="preserve"> PAGEREF _Toc30768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502328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_Toc31037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/>
              <w:bCs/>
              <w:lang w:val="en-US" w:eastAsia="zh-CN"/>
            </w:rPr>
            <w:t>连接线缆</w:t>
          </w:r>
          <w:r>
            <w:tab/>
          </w:r>
          <w:r>
            <w:fldChar w:fldCharType="begin"/>
          </w:r>
          <w:r>
            <w:instrText xml:space="preserve"> PAGEREF _Toc31037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DBF2FA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_Toc32463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3.4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_Toc32463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89934E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_Toc31386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与使用</w:t>
          </w:r>
          <w:r>
            <w:tab/>
          </w:r>
          <w:r>
            <w:fldChar w:fldCharType="begin"/>
          </w:r>
          <w:r>
            <w:instrText xml:space="preserve"> PAGEREF _Toc31386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BBD38A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_Toc11682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_Toc11682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C8DC8D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_Toc32126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安装条件</w:t>
          </w:r>
          <w:r>
            <w:tab/>
          </w:r>
          <w:r>
            <w:fldChar w:fldCharType="begin"/>
          </w:r>
          <w:r>
            <w:instrText xml:space="preserve"> PAGEREF _Toc32126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B7795D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_Toc32382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_Toc32382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0F7E83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_Toc26483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_Toc26483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BA2028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_Toc28582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4.5 </w:t>
          </w:r>
          <w:r>
            <w:rPr>
              <w:rFonts w:hint="eastAsia"/>
              <w:highlight w:val="none"/>
              <w:lang w:val="en-US" w:eastAsia="zh-CN"/>
            </w:rPr>
            <w:t>使用和保养</w:t>
          </w:r>
          <w:r>
            <w:tab/>
          </w:r>
          <w:r>
            <w:fldChar w:fldCharType="begin"/>
          </w:r>
          <w:r>
            <w:instrText xml:space="preserve"> PAGEREF _Toc28582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3C6389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_Toc14601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_Toc14601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ABC4E2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_Toc30041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_Toc30041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7CAB8A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_Toc31661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_Toc31661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957AB7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_Toc26840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_Toc26840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6571A1C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_Toc19224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_Toc19224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106962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_Toc26753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_Toc26753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17057C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_Toc16246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第六章 </w:t>
          </w:r>
          <w:r>
            <w:rPr>
              <w:rFonts w:hint="eastAsia" w:ascii="Times New Roman" w:hAnsi="Times New Roman" w:eastAsia="宋体"/>
              <w:lang w:val="en-US" w:eastAsia="zh-CN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_Toc16246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F95755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_Toc31228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第七章 </w:t>
          </w:r>
          <w:r>
            <w:rPr>
              <w:rFonts w:hint="eastAsia" w:ascii="Times New Roman" w:hAnsi="Times New Roman" w:eastAsia="宋体"/>
              <w:lang w:val="en-US" w:eastAsia="zh-CN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_Toc31228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EF62E1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_Toc25962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 xml:space="preserve">附录 </w:t>
          </w:r>
          <w:r>
            <w:rPr>
              <w:rFonts w:hint="eastAsia" w:ascii="Times New Roman" w:hAnsi="Times New Roman" w:eastAsia="宋体"/>
              <w:lang w:val="en-US" w:eastAsia="zh-CN"/>
            </w:rPr>
            <w:t>选型与订货</w:t>
          </w:r>
          <w:r>
            <w:tab/>
          </w:r>
          <w:r>
            <w:fldChar w:fldCharType="begin"/>
          </w:r>
          <w:r>
            <w:instrText xml:space="preserve"> PAGEREF _Toc25962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2F95871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</w:rPr>
            <w:sectPr>
              <w:footerReference r:id="rId7" w:type="default"/>
              <w:pgSz w:w="5897" w:h="8335"/>
              <w:pgMar w:top="680" w:right="567" w:bottom="680" w:left="567" w:header="397" w:footer="397" w:gutter="0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pgNumType w:fmt="decimal" w:start="1"/>
              <w:cols w:space="0" w:num="1"/>
              <w:docGrid w:type="lines" w:linePitch="349" w:charSpace="0"/>
            </w:sect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1F852E39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3" w:name="_Toc19978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90"/>
      <w:bookmarkEnd w:id="91"/>
      <w:bookmarkEnd w:id="92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3"/>
    </w:p>
    <w:p w14:paraId="66D7EEE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4" w:name="_Toc14426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4"/>
    </w:p>
    <w:p w14:paraId="4A38118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lang w:val="en-US" w:eastAsia="zh-CN"/>
        </w:rPr>
      </w:pPr>
      <w:bookmarkStart w:id="95" w:name="_Toc31468_WPSOffice_Level2"/>
      <w:bookmarkStart w:id="96" w:name="_Toc25397_WPSOffice_Level2"/>
      <w:bookmarkStart w:id="97" w:name="_Toc20995_WPSOffice_Level2"/>
      <w:bookmarkStart w:id="98" w:name="_Toc26576_WPSOffice_Level2"/>
      <w:bookmarkStart w:id="99" w:name="_Toc24924_WPSOffice_Level2"/>
      <w:bookmarkStart w:id="100" w:name="_Toc897_WPSOffice_Level2"/>
      <w:r>
        <w:rPr>
          <w:rFonts w:hint="default" w:ascii="宋体" w:hAnsi="宋体" w:eastAsia="宋体" w:cs="宋体"/>
          <w:lang w:val="en-US" w:eastAsia="zh-CN"/>
        </w:rPr>
        <w:t>WE-T124</w:t>
      </w:r>
      <w:r>
        <w:rPr>
          <w:rFonts w:hint="eastAsia" w:ascii="宋体" w:hAnsi="宋体" w:eastAsia="宋体" w:cs="宋体"/>
          <w:lang w:val="en-US" w:eastAsia="zh-CN"/>
        </w:rPr>
        <w:t>是一款专为测量水中铵离子（</w:t>
      </w:r>
      <w:r>
        <w:rPr>
          <w:rFonts w:hint="default" w:ascii="宋体" w:hAnsi="宋体" w:eastAsia="宋体" w:cs="宋体"/>
          <w:lang w:val="en-US" w:eastAsia="zh-CN"/>
        </w:rPr>
        <w:t>NH₄⁺</w:t>
      </w:r>
      <w:r>
        <w:rPr>
          <w:rFonts w:hint="eastAsia" w:ascii="宋体" w:hAnsi="宋体" w:eastAsia="宋体" w:cs="宋体"/>
          <w:lang w:val="en-US" w:eastAsia="zh-CN"/>
        </w:rPr>
        <w:t>）含量设计的高性能变送器，具备多种传输方式和灵活的供电方案，适用于复杂环境下的水质监测需求。其传输方式支持</w:t>
      </w:r>
      <w:r>
        <w:rPr>
          <w:rFonts w:hint="default" w:ascii="宋体" w:hAnsi="宋体" w:eastAsia="宋体" w:cs="宋体"/>
          <w:lang w:val="en-US" w:eastAsia="zh-CN"/>
        </w:rPr>
        <w:t>LoRa</w:t>
      </w:r>
      <w:r>
        <w:rPr>
          <w:rFonts w:hint="eastAsia" w:ascii="宋体" w:hAnsi="宋体" w:eastAsia="宋体" w:cs="宋体"/>
          <w:lang w:val="en-US" w:eastAsia="zh-CN"/>
        </w:rPr>
        <w:t>、</w:t>
      </w:r>
      <w:r>
        <w:rPr>
          <w:rFonts w:hint="default" w:ascii="宋体" w:hAnsi="宋体" w:eastAsia="宋体" w:cs="宋体"/>
          <w:lang w:val="en-US" w:eastAsia="zh-CN"/>
        </w:rPr>
        <w:t>4G</w:t>
      </w:r>
      <w:r>
        <w:rPr>
          <w:rFonts w:hint="eastAsia" w:ascii="宋体" w:hAnsi="宋体" w:eastAsia="宋体" w:cs="宋体"/>
          <w:lang w:val="en-US" w:eastAsia="zh-CN"/>
        </w:rPr>
        <w:t>、</w:t>
      </w:r>
      <w:r>
        <w:rPr>
          <w:rFonts w:hint="default" w:ascii="宋体" w:hAnsi="宋体" w:eastAsia="宋体" w:cs="宋体"/>
          <w:lang w:val="en-US" w:eastAsia="zh-CN"/>
        </w:rPr>
        <w:t>NB-IoT</w:t>
      </w:r>
      <w:r>
        <w:rPr>
          <w:rFonts w:hint="eastAsia" w:ascii="宋体" w:hAnsi="宋体" w:eastAsia="宋体" w:cs="宋体"/>
          <w:lang w:val="en-US" w:eastAsia="zh-CN"/>
        </w:rPr>
        <w:t>等多种通信技术，能够实现远距离、高可靠性的数据传输；供电方式则提供电池供电和</w:t>
      </w:r>
      <w:r>
        <w:rPr>
          <w:rFonts w:hint="eastAsia" w:ascii="宋体" w:hAnsi="宋体" w:cs="宋体"/>
          <w:lang w:val="en-US" w:eastAsia="zh-CN"/>
        </w:rPr>
        <w:t>DC</w:t>
      </w:r>
      <w:r>
        <w:rPr>
          <w:rFonts w:hint="default" w:ascii="宋体" w:hAnsi="宋体" w:eastAsia="宋体" w:cs="宋体"/>
          <w:lang w:val="en-US" w:eastAsia="zh-CN"/>
        </w:rPr>
        <w:t>24V</w:t>
      </w:r>
      <w:r>
        <w:rPr>
          <w:rFonts w:hint="eastAsia" w:ascii="宋体" w:hAnsi="宋体" w:eastAsia="宋体" w:cs="宋体"/>
          <w:lang w:val="en-US" w:eastAsia="zh-CN"/>
        </w:rPr>
        <w:t>供电两种模式，既能满足无电源环境的长期监测需求，也适合工业现场的稳定运行。</w:t>
      </w:r>
    </w:p>
    <w:p w14:paraId="62A1D22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该变送器采用基于</w:t>
      </w:r>
      <w:r>
        <w:rPr>
          <w:rFonts w:hint="default" w:ascii="宋体" w:hAnsi="宋体" w:eastAsia="宋体" w:cs="宋体"/>
          <w:lang w:val="en-US" w:eastAsia="zh-CN"/>
        </w:rPr>
        <w:t>PVC</w:t>
      </w:r>
      <w:r>
        <w:rPr>
          <w:rFonts w:hint="eastAsia" w:ascii="宋体" w:hAnsi="宋体" w:eastAsia="宋体" w:cs="宋体"/>
          <w:lang w:val="en-US" w:eastAsia="zh-CN"/>
        </w:rPr>
        <w:t>膜的铵离子选择电极传感器，具有高灵敏度、快速响应和强抗干扰能力，能够对现场液体中的铵离子浓度进行实时监测与精准计算。通过</w:t>
      </w:r>
      <w:r>
        <w:rPr>
          <w:rFonts w:hint="default" w:ascii="宋体" w:hAnsi="宋体" w:eastAsia="宋体" w:cs="宋体"/>
          <w:lang w:val="en-US" w:eastAsia="zh-CN"/>
        </w:rPr>
        <w:t>LoRa</w:t>
      </w:r>
      <w:r>
        <w:rPr>
          <w:rFonts w:hint="eastAsia" w:ascii="宋体" w:hAnsi="宋体" w:eastAsia="宋体" w:cs="宋体"/>
          <w:lang w:val="en-US" w:eastAsia="zh-CN"/>
        </w:rPr>
        <w:t>、</w:t>
      </w:r>
      <w:r>
        <w:rPr>
          <w:rFonts w:hint="default" w:ascii="宋体" w:hAnsi="宋体" w:eastAsia="宋体" w:cs="宋体"/>
          <w:lang w:val="en-US" w:eastAsia="zh-CN"/>
        </w:rPr>
        <w:t>4G</w:t>
      </w:r>
      <w:r>
        <w:rPr>
          <w:rFonts w:hint="eastAsia" w:ascii="宋体" w:hAnsi="宋体" w:eastAsia="宋体" w:cs="宋体"/>
          <w:lang w:val="en-US" w:eastAsia="zh-CN"/>
        </w:rPr>
        <w:t>、</w:t>
      </w:r>
      <w:r>
        <w:rPr>
          <w:rFonts w:hint="default" w:ascii="宋体" w:hAnsi="宋体" w:eastAsia="宋体" w:cs="宋体"/>
          <w:lang w:val="en-US" w:eastAsia="zh-CN"/>
        </w:rPr>
        <w:t>NB</w:t>
      </w:r>
      <w:r>
        <w:rPr>
          <w:rFonts w:hint="eastAsia" w:ascii="宋体" w:hAnsi="宋体" w:eastAsia="宋体" w:cs="宋体"/>
          <w:lang w:val="en-US" w:eastAsia="zh-CN"/>
        </w:rPr>
        <w:t>等通信技术，实现远距离数据传输，并结合世电科技的工业边缘计算网关产品，将数据上传至世电科技设备管理平台，完成对现场液体中氨氮浓度的实时采集、分析计算、存储及可视化展示。</w:t>
      </w:r>
    </w:p>
    <w:p w14:paraId="4E86420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变送器本体与探头分体式设计，针对现场被测液体，以及安装方式等不同需求，提供多种安装方式。主要应用于环境监测、农业、工业、科研、市政供水、应急监测、水产养殖及游泳池维护等领域。</w:t>
      </w:r>
    </w:p>
    <w:p w14:paraId="1C3323D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1" w:name="_Toc12187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1"/>
    </w:p>
    <w:p w14:paraId="4FD4A67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氨氮变送器采用氨氮传感器，测量原理是基于离子选择电极法。氨氮电极通过一张</w:t>
      </w:r>
      <w:r>
        <w:rPr>
          <w:rFonts w:hint="default"/>
          <w:lang w:val="en-US" w:eastAsia="zh-CN"/>
        </w:rPr>
        <w:t>对铵离子（NH₄⁺）敏感的专用高分子膜，利用膜内外铵离子浓度差产生的膜电位变化，通过能斯特方程计算出氨氮浓度</w:t>
      </w:r>
      <w:r>
        <w:rPr>
          <w:rFonts w:hint="eastAsia"/>
          <w:lang w:val="en-US" w:eastAsia="zh-CN"/>
        </w:rPr>
        <w:t>。</w:t>
      </w:r>
    </w:p>
    <w:p w14:paraId="0C09921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氨氮变送器一般由一个氨氮传感器和一个变送器组成，通过电缆连接。当氨氮传感器采集到现场溶液的氨氮值后通过电缆传输至变送器。</w:t>
      </w:r>
    </w:p>
    <w:p w14:paraId="010F35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2" w:name="_Toc19767"/>
      <w:r>
        <w:rPr>
          <w:rFonts w:hint="eastAsia"/>
          <w:b/>
          <w:bCs/>
          <w:lang w:val="en-US" w:eastAsia="zh-CN"/>
        </w:rPr>
        <w:t>产品特点</w:t>
      </w:r>
      <w:bookmarkEnd w:id="102"/>
    </w:p>
    <w:p w14:paraId="218F9CB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3" w:name="_Toc21411_WPSOffice_Level2"/>
      <w:bookmarkStart w:id="104" w:name="_Toc5059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3A51654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3种通信方式选择。</w:t>
      </w:r>
    </w:p>
    <w:p w14:paraId="19A3198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0572E9C0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围（-20~70）℃。</w:t>
      </w:r>
    </w:p>
    <w:p w14:paraId="501898D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28B8F44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43CB4B5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 xml:space="preserve">支持高清晰度 LCD 显示屏，配合 </w:t>
      </w:r>
      <w:r>
        <w:rPr>
          <w:rFonts w:hint="default" w:cs="Times New Roman"/>
          <w:szCs w:val="18"/>
          <w:lang w:val="en-US" w:eastAsia="zh-CN"/>
        </w:rPr>
        <w:t xml:space="preserve">LED </w:t>
      </w:r>
      <w:r>
        <w:rPr>
          <w:rFonts w:hint="eastAsia" w:cs="Times New Roman"/>
          <w:szCs w:val="18"/>
          <w:lang w:val="en-US" w:eastAsia="zh-CN"/>
        </w:rPr>
        <w:t>指示灯与按键，可以现场实时查看液位值、报警信息、电量提示等。</w:t>
      </w:r>
    </w:p>
    <w:p w14:paraId="1D3AFDF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cs="Times New Roman"/>
          <w:szCs w:val="18"/>
          <w:lang w:val="en-US" w:eastAsia="zh-CN"/>
        </w:rPr>
        <w:sectPr>
          <w:headerReference r:id="rId10" w:type="first"/>
          <w:footerReference r:id="rId13" w:type="first"/>
          <w:headerReference r:id="rId8" w:type="default"/>
          <w:footerReference r:id="rId11" w:type="default"/>
          <w:headerReference r:id="rId9" w:type="even"/>
          <w:footerReference r:id="rId12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p w14:paraId="456D7E60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5" w:name="_Toc14459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5"/>
    </w:p>
    <w:p w14:paraId="1D8CEF43">
      <w:pPr>
        <w:pStyle w:val="25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3978"/>
      </w:tblGrid>
      <w:tr w14:paraId="27360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73D636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输入</w:t>
            </w:r>
          </w:p>
        </w:tc>
      </w:tr>
      <w:tr w14:paraId="6F673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005" w:type="pct"/>
            <w:vAlign w:val="center"/>
          </w:tcPr>
          <w:p w14:paraId="00F8C4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测量变量</w:t>
            </w:r>
          </w:p>
        </w:tc>
        <w:tc>
          <w:tcPr>
            <w:tcW w:w="3994" w:type="pct"/>
            <w:vAlign w:val="center"/>
          </w:tcPr>
          <w:p w14:paraId="3FA87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  <w:t>氨氮</w:t>
            </w:r>
          </w:p>
        </w:tc>
      </w:tr>
      <w:tr w14:paraId="0990D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5" w:type="pct"/>
            <w:vAlign w:val="center"/>
          </w:tcPr>
          <w:p w14:paraId="0C4FB2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测量范围</w:t>
            </w:r>
          </w:p>
        </w:tc>
        <w:tc>
          <w:tcPr>
            <w:tcW w:w="3994" w:type="pct"/>
            <w:vAlign w:val="center"/>
          </w:tcPr>
          <w:p w14:paraId="34FAAA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0~10...1000mg/L</w:t>
            </w:r>
          </w:p>
        </w:tc>
      </w:tr>
      <w:tr w14:paraId="22ED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5B8461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性能参数</w:t>
            </w:r>
          </w:p>
        </w:tc>
      </w:tr>
      <w:tr w14:paraId="1F2BB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05" w:type="pct"/>
            <w:vAlign w:val="center"/>
          </w:tcPr>
          <w:p w14:paraId="152BA2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准确度</w:t>
            </w:r>
          </w:p>
        </w:tc>
        <w:tc>
          <w:tcPr>
            <w:tcW w:w="3994" w:type="pct"/>
            <w:vAlign w:val="center"/>
          </w:tcPr>
          <w:p w14:paraId="31CFA5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读数的±10%或±1 mg/L 以大者为准</w:t>
            </w:r>
          </w:p>
        </w:tc>
      </w:tr>
      <w:tr w14:paraId="7F6CE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5" w:type="pct"/>
            <w:vAlign w:val="center"/>
          </w:tcPr>
          <w:p w14:paraId="11549D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分辨率</w:t>
            </w:r>
          </w:p>
        </w:tc>
        <w:tc>
          <w:tcPr>
            <w:tcW w:w="3994" w:type="pct"/>
            <w:vAlign w:val="center"/>
          </w:tcPr>
          <w:p w14:paraId="547F62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0.01mg/L（0~10...100mg/L），0.1mg/L（0~1000mg/L）</w:t>
            </w:r>
          </w:p>
        </w:tc>
      </w:tr>
      <w:tr w14:paraId="779AC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5" w:type="pct"/>
            <w:vMerge w:val="restart"/>
            <w:vAlign w:val="center"/>
          </w:tcPr>
          <w:p w14:paraId="700D38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信号传输</w:t>
            </w:r>
          </w:p>
        </w:tc>
        <w:tc>
          <w:tcPr>
            <w:tcW w:w="3994" w:type="pct"/>
            <w:vAlign w:val="center"/>
          </w:tcPr>
          <w:p w14:paraId="3D16F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LoRa网络通讯</w:t>
            </w:r>
          </w:p>
          <w:p w14:paraId="1E5356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支持410.125~490.125MHz频段</w:t>
            </w:r>
          </w:p>
          <w:p w14:paraId="43128B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最大22dbm发射功率，最大-147dbm接收灵敏度，空旷视距5KM信号覆盖能力</w:t>
            </w:r>
          </w:p>
        </w:tc>
      </w:tr>
      <w:tr w14:paraId="0C355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5" w:type="pct"/>
            <w:vMerge w:val="continue"/>
            <w:vAlign w:val="center"/>
          </w:tcPr>
          <w:p w14:paraId="39978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994" w:type="pct"/>
            <w:vAlign w:val="center"/>
          </w:tcPr>
          <w:p w14:paraId="6CC380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4G网络通讯，三年流量（100M/月）</w:t>
            </w:r>
          </w:p>
          <w:p w14:paraId="22124E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支持MQTT、HTTP、WES云服务协议</w:t>
            </w:r>
          </w:p>
          <w:p w14:paraId="523EDA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FDD B1/3/5/8</w:t>
            </w:r>
          </w:p>
          <w:p w14:paraId="674C89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 B34/38/39/40/41（全频段）</w:t>
            </w:r>
          </w:p>
          <w:p w14:paraId="45C93F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速率(Mbps)  LTE FDD：10.3(DL)/5.1(UL)</w:t>
            </w:r>
          </w:p>
          <w:p w14:paraId="42A764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TDD：9.1(DL)/3.1(UL)</w:t>
            </w:r>
          </w:p>
        </w:tc>
      </w:tr>
      <w:tr w14:paraId="5EAFB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05" w:type="pct"/>
            <w:vMerge w:val="continue"/>
            <w:vAlign w:val="center"/>
          </w:tcPr>
          <w:p w14:paraId="1F1D61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994" w:type="pct"/>
            <w:vAlign w:val="center"/>
          </w:tcPr>
          <w:p w14:paraId="10B80D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NB网络通讯，五年流量（300M/年）</w:t>
            </w:r>
          </w:p>
          <w:p w14:paraId="324A4D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Cat NB2：B3/B5/B8</w:t>
            </w:r>
          </w:p>
          <w:p w14:paraId="40CE8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速率(kbps)：Single-Tone：25.5(DL)/16.7(UL)</w:t>
            </w:r>
          </w:p>
          <w:p w14:paraId="5D9FEF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Multi-Tpne：127(DL)/158.5(UL)</w:t>
            </w:r>
          </w:p>
        </w:tc>
      </w:tr>
      <w:tr w14:paraId="3FB27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5" w:type="pct"/>
            <w:vAlign w:val="center"/>
          </w:tcPr>
          <w:p w14:paraId="46E62D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采样周期</w:t>
            </w:r>
          </w:p>
        </w:tc>
        <w:tc>
          <w:tcPr>
            <w:tcW w:w="3994" w:type="pct"/>
            <w:vAlign w:val="center"/>
          </w:tcPr>
          <w:p w14:paraId="480FE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1min~</w:t>
            </w:r>
            <w:r>
              <w:rPr>
                <w:rFonts w:hint="eastAsia"/>
                <w:highlight w:val="none"/>
                <w:lang w:val="en-US" w:eastAsia="zh"/>
                <w:woUserID w:val="1"/>
              </w:rPr>
              <w:t>18</w:t>
            </w:r>
            <w:r>
              <w:rPr>
                <w:rFonts w:hint="eastAsia"/>
                <w:highlight w:val="none"/>
                <w:lang w:val="en-US" w:eastAsia="zh-CN"/>
              </w:rPr>
              <w:t>小时可设定</w:t>
            </w:r>
          </w:p>
        </w:tc>
      </w:tr>
      <w:tr w14:paraId="574A1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005" w:type="pct"/>
            <w:vAlign w:val="center"/>
          </w:tcPr>
          <w:p w14:paraId="78C7AC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上报周期</w:t>
            </w:r>
          </w:p>
        </w:tc>
        <w:tc>
          <w:tcPr>
            <w:tcW w:w="3994" w:type="pct"/>
            <w:vAlign w:val="center"/>
          </w:tcPr>
          <w:p w14:paraId="299923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1min~</w:t>
            </w:r>
            <w:r>
              <w:rPr>
                <w:rFonts w:hint="eastAsia"/>
                <w:highlight w:val="none"/>
                <w:lang w:val="en-US" w:eastAsia="zh"/>
                <w:woUserID w:val="1"/>
              </w:rPr>
              <w:t>18</w:t>
            </w:r>
            <w:r>
              <w:rPr>
                <w:rFonts w:hint="eastAsia"/>
                <w:highlight w:val="none"/>
                <w:lang w:val="en-US" w:eastAsia="zh-CN"/>
              </w:rPr>
              <w:t>小时可设定</w:t>
            </w:r>
          </w:p>
        </w:tc>
      </w:tr>
      <w:tr w14:paraId="2AB5E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5C1A99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电气规格</w:t>
            </w:r>
          </w:p>
        </w:tc>
      </w:tr>
      <w:tr w14:paraId="47B51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05" w:type="pct"/>
            <w:vAlign w:val="center"/>
          </w:tcPr>
          <w:p w14:paraId="4AB76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供电电源</w:t>
            </w:r>
          </w:p>
        </w:tc>
        <w:tc>
          <w:tcPr>
            <w:tcW w:w="3994" w:type="pct"/>
            <w:vAlign w:val="center"/>
          </w:tcPr>
          <w:p w14:paraId="61A29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19000mAh，锂电池</w:t>
            </w:r>
          </w:p>
          <w:p w14:paraId="528E0B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9~30DC，典型24V</w:t>
            </w:r>
          </w:p>
        </w:tc>
      </w:tr>
      <w:tr w14:paraId="1B2E0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005" w:type="pct"/>
            <w:vAlign w:val="center"/>
          </w:tcPr>
          <w:p w14:paraId="185B13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电池寿命</w:t>
            </w:r>
          </w:p>
        </w:tc>
        <w:tc>
          <w:tcPr>
            <w:tcW w:w="3994" w:type="pct"/>
            <w:vAlign w:val="center"/>
          </w:tcPr>
          <w:p w14:paraId="5E1370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以具体使用工况和上报周期为准。</w:t>
            </w:r>
          </w:p>
          <w:p w14:paraId="0B79C1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  <w:woUserID w:val="2"/>
              </w:rPr>
            </w:pPr>
            <w:bookmarkStart w:id="142" w:name="_GoBack"/>
            <w:r>
              <w:rPr>
                <w:rFonts w:hint="eastAsia"/>
                <w:highlight w:val="none"/>
                <w:lang w:val="en-US" w:eastAsia="zh-CN"/>
                <w:woUserID w:val="2"/>
              </w:rPr>
              <w:t>典型值</w:t>
            </w:r>
          </w:p>
          <w:bookmarkEnd w:id="142"/>
          <w:p w14:paraId="22233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LoRa：8~10年@1次/1h</w:t>
            </w:r>
          </w:p>
          <w:p w14:paraId="2E9FB3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NB：4~6年@1次/1h</w:t>
            </w:r>
          </w:p>
          <w:p w14:paraId="3CADF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4G：2~3年@1次/1h</w:t>
            </w:r>
          </w:p>
        </w:tc>
      </w:tr>
      <w:tr w14:paraId="295A7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7CD35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环境条件</w:t>
            </w:r>
          </w:p>
        </w:tc>
      </w:tr>
      <w:tr w14:paraId="1190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5" w:type="pct"/>
            <w:vAlign w:val="center"/>
          </w:tcPr>
          <w:p w14:paraId="0B4F17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/>
                <w:highlight w:val="none"/>
                <w:lang w:val="en-US" w:eastAsia="zh-CN"/>
                <w:woUserID w:val="1"/>
              </w:rPr>
              <w:t>工作环境</w:t>
            </w:r>
          </w:p>
        </w:tc>
        <w:tc>
          <w:tcPr>
            <w:tcW w:w="3978" w:type="dxa"/>
            <w:vAlign w:val="center"/>
          </w:tcPr>
          <w:p w14:paraId="77C57BE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变送器主机：</w:t>
            </w:r>
          </w:p>
          <w:p w14:paraId="6B9ECC8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温度：（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-20~70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）℃，相对湿度：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5%~95%</w:t>
            </w:r>
          </w:p>
          <w:p w14:paraId="67F4DDC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变送器探头：</w:t>
            </w:r>
          </w:p>
          <w:p w14:paraId="4D24CE8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温度：（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0~50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）℃，压力：＜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0.1MPa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，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PH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：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4~10PH</w:t>
            </w:r>
          </w:p>
        </w:tc>
      </w:tr>
      <w:tr w14:paraId="3CDBF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5" w:type="pct"/>
            <w:vAlign w:val="center"/>
          </w:tcPr>
          <w:p w14:paraId="2EA66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/>
                <w:highlight w:val="none"/>
                <w:lang w:val="en-US" w:eastAsia="zh-CN"/>
                <w:woUserID w:val="1"/>
              </w:rPr>
              <w:t>存储温度</w:t>
            </w:r>
          </w:p>
        </w:tc>
        <w:tc>
          <w:tcPr>
            <w:tcW w:w="3978" w:type="dxa"/>
            <w:vAlign w:val="center"/>
          </w:tcPr>
          <w:p w14:paraId="027C80C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变送器主机：（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-40~85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）℃</w:t>
            </w:r>
          </w:p>
          <w:p w14:paraId="2AEE2D8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变送器探头：（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-5~65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）℃</w:t>
            </w:r>
          </w:p>
        </w:tc>
      </w:tr>
      <w:tr w14:paraId="542CB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5" w:type="pct"/>
            <w:vAlign w:val="center"/>
          </w:tcPr>
          <w:p w14:paraId="005244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/>
                <w:highlight w:val="none"/>
                <w:lang w:val="en-US" w:eastAsia="zh-CN"/>
                <w:woUserID w:val="1"/>
              </w:rPr>
              <w:t>防护等级</w:t>
            </w:r>
          </w:p>
        </w:tc>
        <w:tc>
          <w:tcPr>
            <w:tcW w:w="3978" w:type="dxa"/>
            <w:vAlign w:val="center"/>
          </w:tcPr>
          <w:p w14:paraId="62034CA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变送器主机：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IP67</w:t>
            </w:r>
          </w:p>
          <w:p w14:paraId="2573E5F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rPr>
                <w:rFonts w:hint="default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  <w:woUserID w:val="1"/>
              </w:rPr>
              <w:t>变送器探头：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"/>
                <w:woUserID w:val="1"/>
              </w:rPr>
              <w:t>IP68</w:t>
            </w:r>
          </w:p>
        </w:tc>
      </w:tr>
    </w:tbl>
    <w:p w14:paraId="74071060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6" w:type="first"/>
          <w:headerReference r:id="rId14" w:type="default"/>
          <w:headerReference r:id="rId1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bookmarkEnd w:id="95"/>
    <w:bookmarkEnd w:id="96"/>
    <w:bookmarkEnd w:id="97"/>
    <w:bookmarkEnd w:id="98"/>
    <w:bookmarkEnd w:id="99"/>
    <w:bookmarkEnd w:id="100"/>
    <w:bookmarkEnd w:id="103"/>
    <w:bookmarkEnd w:id="104"/>
    <w:p w14:paraId="7957A3B4">
      <w:pPr>
        <w:rPr>
          <w:rFonts w:hint="eastAsia"/>
          <w:lang w:val="en-US" w:eastAsia="zh-CN"/>
        </w:rPr>
      </w:pPr>
      <w:bookmarkStart w:id="106" w:name="_Toc23137"/>
      <w:bookmarkStart w:id="107" w:name="_Toc5059_WPSOffice_Level1"/>
      <w:bookmarkStart w:id="108" w:name="_Toc26576_WPSOffice_Level1"/>
      <w:bookmarkStart w:id="109" w:name="_Toc897_WPSOffice_Level1"/>
      <w:r>
        <w:rPr>
          <w:rFonts w:hint="eastAsia"/>
          <w:lang w:val="en-US" w:eastAsia="zh-CN"/>
        </w:rPr>
        <w:br w:type="page"/>
      </w:r>
    </w:p>
    <w:p w14:paraId="054793D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10" w:name="_Toc32731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10"/>
    </w:p>
    <w:p w14:paraId="4DB0406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lang w:val="en-US" w:eastAsia="zh-CN"/>
        </w:rPr>
      </w:pPr>
      <w:bookmarkStart w:id="111" w:name="_Toc19943"/>
      <w:r>
        <w:rPr>
          <w:rFonts w:hint="eastAsia"/>
          <w:lang w:val="en-US" w:eastAsia="zh-CN"/>
        </w:rPr>
        <w:t>外形尺寸</w:t>
      </w:r>
      <w:bookmarkEnd w:id="111"/>
    </w:p>
    <w:p w14:paraId="0E264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02940" cy="2339975"/>
            <wp:effectExtent l="0" t="0" r="16510" b="3175"/>
            <wp:docPr id="2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2339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CE4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3020060" cy="1001395"/>
            <wp:effectExtent l="0" t="0" r="8890" b="825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D5A2C">
      <w:pPr>
        <w:pStyle w:val="26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71A0AF9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2" w:name="_Toc30768"/>
      <w:r>
        <w:rPr>
          <w:rFonts w:hint="eastAsia"/>
          <w:b/>
          <w:bCs/>
          <w:lang w:val="en-US" w:eastAsia="zh-CN"/>
        </w:rPr>
        <w:t>过程连接</w:t>
      </w:r>
      <w:bookmarkEnd w:id="112"/>
    </w:p>
    <w:p w14:paraId="3C9FC2BE">
      <w:pPr>
        <w:pStyle w:val="25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过程连接</w:t>
      </w:r>
    </w:p>
    <w:tbl>
      <w:tblPr>
        <w:tblStyle w:val="15"/>
        <w:tblW w:w="33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672"/>
      </w:tblGrid>
      <w:tr w14:paraId="583B2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7" w:type="pct"/>
            <w:shd w:val="clear" w:color="auto" w:fill="D7D7D7" w:themeFill="background1" w:themeFillShade="D8"/>
            <w:noWrap w:val="0"/>
            <w:vAlign w:val="top"/>
          </w:tcPr>
          <w:p w14:paraId="19DACE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螺纹类型</w:t>
            </w:r>
          </w:p>
        </w:tc>
        <w:tc>
          <w:tcPr>
            <w:tcW w:w="2532" w:type="pct"/>
            <w:shd w:val="clear" w:color="auto" w:fill="FFFFFF" w:themeFill="background1"/>
            <w:noWrap w:val="0"/>
            <w:vAlign w:val="top"/>
          </w:tcPr>
          <w:p w14:paraId="7E5658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3/4NPT</w:t>
            </w:r>
          </w:p>
        </w:tc>
      </w:tr>
      <w:tr w14:paraId="2C920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7" w:type="pct"/>
            <w:shd w:val="clear" w:color="auto" w:fill="D7D7D7" w:themeFill="background1" w:themeFillShade="D8"/>
            <w:noWrap w:val="0"/>
            <w:vAlign w:val="top"/>
          </w:tcPr>
          <w:p w14:paraId="533BD0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D（mm）</w:t>
            </w:r>
          </w:p>
        </w:tc>
        <w:tc>
          <w:tcPr>
            <w:tcW w:w="2532" w:type="pct"/>
            <w:noWrap w:val="0"/>
            <w:vAlign w:val="top"/>
          </w:tcPr>
          <w:p w14:paraId="3B23B5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15mm</w:t>
            </w:r>
          </w:p>
        </w:tc>
      </w:tr>
    </w:tbl>
    <w:p w14:paraId="66CD0E9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3" w:name="_Toc31037"/>
      <w:r>
        <w:rPr>
          <w:rFonts w:hint="eastAsia"/>
          <w:b/>
          <w:bCs/>
          <w:lang w:val="en-US" w:eastAsia="zh-CN"/>
        </w:rPr>
        <w:t>连接线缆</w:t>
      </w:r>
      <w:bookmarkEnd w:id="113"/>
    </w:p>
    <w:p w14:paraId="33E3282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线缆长度：5m，其他长度需定制。</w:t>
      </w:r>
    </w:p>
    <w:p w14:paraId="5E8C146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4" w:name="_Toc32463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4"/>
    </w:p>
    <w:p w14:paraId="7CB73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主机外壳材质：ABS/PC</w:t>
      </w:r>
    </w:p>
    <w:p w14:paraId="1B63D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 xml:space="preserve">探头外壳材质：ABS、PVC、POM </w:t>
      </w:r>
    </w:p>
    <w:p w14:paraId="3B5FA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线缆护套材质：聚氯乙烯PVC或聚氨酯PU</w:t>
      </w:r>
    </w:p>
    <w:p w14:paraId="61BBAB6C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</w:pPr>
    </w:p>
    <w:p w14:paraId="676B2B79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7" w:type="default"/>
          <w:headerReference r:id="rId18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5A5D05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5" w:name="_Toc31386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6"/>
      <w:bookmarkEnd w:id="107"/>
      <w:bookmarkEnd w:id="108"/>
      <w:bookmarkEnd w:id="109"/>
      <w:bookmarkStart w:id="116" w:name="_Toc2997_WPSOffice_Level2"/>
      <w:bookmarkStart w:id="117" w:name="_Toc19936"/>
      <w:bookmarkStart w:id="118" w:name="_Toc23325"/>
      <w:bookmarkStart w:id="119" w:name="_Toc8102_WPSOffice_Level2"/>
      <w:bookmarkStart w:id="120" w:name="_Toc5895_WPSOffice_Level2"/>
      <w:r>
        <w:rPr>
          <w:rFonts w:hint="eastAsia"/>
          <w:b/>
          <w:sz w:val="21"/>
          <w:lang w:val="en-US" w:eastAsia="zh-CN"/>
        </w:rPr>
        <w:t>与使用</w:t>
      </w:r>
      <w:bookmarkEnd w:id="115"/>
    </w:p>
    <w:p w14:paraId="4B5F38F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1" w:name="_Toc11682"/>
      <w:bookmarkStart w:id="122" w:name="_Toc29826"/>
      <w:bookmarkStart w:id="123" w:name="_Toc25939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1"/>
      <w:bookmarkEnd w:id="122"/>
      <w:bookmarkEnd w:id="123"/>
    </w:p>
    <w:p w14:paraId="4E98C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445AC583">
      <w:pPr>
        <w:pStyle w:val="3"/>
        <w:bidi w:val="0"/>
        <w:rPr>
          <w:rFonts w:hint="default"/>
          <w:lang w:val="en-US" w:eastAsia="zh-CN"/>
        </w:rPr>
      </w:pPr>
      <w:bookmarkStart w:id="124" w:name="_Toc32126"/>
      <w:bookmarkStart w:id="125" w:name="_Toc6877"/>
      <w:r>
        <w:rPr>
          <w:rFonts w:hint="eastAsia"/>
          <w:lang w:val="en-US" w:eastAsia="zh-CN"/>
        </w:rPr>
        <w:t>安装条件</w:t>
      </w:r>
      <w:bookmarkEnd w:id="124"/>
      <w:bookmarkEnd w:id="125"/>
    </w:p>
    <w:p w14:paraId="7E4122F3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/>
          <w:highlight w:val="none"/>
          <w:lang w:val="en-US" w:eastAsia="zh-CN"/>
        </w:rPr>
        <w:t>氨氮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变送器安装时，</w:t>
      </w:r>
      <w:r>
        <w:rPr>
          <w:rFonts w:hint="eastAsia"/>
          <w:highlight w:val="none"/>
          <w:lang w:val="en-US" w:eastAsia="zh-CN"/>
        </w:rPr>
        <w:t>氨氮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探头应浸入液面以下固定安装，不能倒置或水平安装，至少倾斜15度角以上安装，以获得最佳测量结果。</w:t>
      </w:r>
    </w:p>
    <w:p w14:paraId="1972335B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应选择易于操作、维护的地方进行安装。</w:t>
      </w:r>
    </w:p>
    <w:p w14:paraId="11A4DF7F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应尽量远离振动源</w:t>
      </w:r>
      <w:r>
        <w:rPr>
          <w:rFonts w:hint="eastAsia"/>
          <w:highlight w:val="none"/>
          <w:lang w:val="en-US" w:eastAsia="zh-CN"/>
        </w:rPr>
        <w:t>、热源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安装。</w:t>
      </w:r>
    </w:p>
    <w:p w14:paraId="3F1029B0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6" w:name="_Toc32382"/>
      <w:bookmarkStart w:id="127" w:name="_Toc13983"/>
      <w:bookmarkStart w:id="128" w:name="_Toc22767"/>
      <w:r>
        <w:rPr>
          <w:rFonts w:hint="eastAsia"/>
          <w:highlight w:val="none"/>
          <w:lang w:val="en-US" w:eastAsia="zh-CN"/>
        </w:rPr>
        <w:t>安装注意</w:t>
      </w:r>
      <w:bookmarkEnd w:id="126"/>
      <w:bookmarkEnd w:id="127"/>
      <w:bookmarkEnd w:id="128"/>
    </w:p>
    <w:p w14:paraId="364F5C41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确定工艺要求的测量范围与要安装的变送器量程一致。</w:t>
      </w:r>
    </w:p>
    <w:p w14:paraId="4B7D0151">
      <w:pPr>
        <w:numPr>
          <w:ilvl w:val="0"/>
          <w:numId w:val="9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工艺安装的接头螺纹规格必须与产品配套。</w:t>
      </w:r>
    </w:p>
    <w:p w14:paraId="1CFDE8C8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安装和使用</w:t>
      </w:r>
      <w:r>
        <w:rPr>
          <w:rFonts w:hint="eastAsia"/>
          <w:highlight w:val="none"/>
          <w:lang w:val="en-US" w:eastAsia="zh-CN"/>
        </w:rPr>
        <w:t>氨氮探头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时避免碰撞或刮蹭</w:t>
      </w:r>
      <w:r>
        <w:rPr>
          <w:rFonts w:hint="eastAsia"/>
          <w:highlight w:val="none"/>
          <w:lang w:val="en-US" w:eastAsia="zh-CN"/>
        </w:rPr>
        <w:t>电极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表面。</w:t>
      </w:r>
    </w:p>
    <w:p w14:paraId="417B66E9">
      <w:pPr>
        <w:numPr>
          <w:ilvl w:val="0"/>
          <w:numId w:val="9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安装使用过程中应杜绝磨损、刺破、划伤导线。若现场存在以上问题，导线应采取保护措施。</w:t>
      </w:r>
    </w:p>
    <w:p w14:paraId="71CA3080">
      <w:pPr>
        <w:pStyle w:val="3"/>
        <w:tabs>
          <w:tab w:val="left" w:pos="420"/>
          <w:tab w:val="clear" w:pos="0"/>
        </w:tabs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bookmarkStart w:id="129" w:name="_Toc26483"/>
      <w:bookmarkStart w:id="130" w:name="_Toc21119"/>
      <w:r>
        <w:rPr>
          <w:rFonts w:hint="eastAsia"/>
          <w:highlight w:val="none"/>
          <w:lang w:val="en-US" w:eastAsia="zh-CN"/>
        </w:rPr>
        <w:t>安装示意</w:t>
      </w:r>
      <w:bookmarkEnd w:id="129"/>
      <w:bookmarkEnd w:id="130"/>
    </w:p>
    <w:p w14:paraId="7E86FCAF">
      <w:p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021330" cy="1800225"/>
            <wp:effectExtent l="0" t="0" r="7620" b="9525"/>
            <wp:docPr id="6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2133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F795B">
      <w:pPr>
        <w:pStyle w:val="26"/>
        <w:shd w:val="clear" w:color="auto" w:fill="auto"/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氨氮变送器探头安装示意图</w:t>
      </w:r>
    </w:p>
    <w:p w14:paraId="3B87D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343785" cy="1332230"/>
            <wp:effectExtent l="0" t="0" r="18415" b="127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14E32">
      <w:pPr>
        <w:pStyle w:val="26"/>
        <w:shd w:val="clear" w:color="auto" w:fill="auto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氨氮变送器主机安装示意图</w:t>
      </w:r>
    </w:p>
    <w:p w14:paraId="4FCC9DF7">
      <w:pPr>
        <w:pStyle w:val="3"/>
        <w:numPr>
          <w:ilvl w:val="1"/>
          <w:numId w:val="0"/>
        </w:numPr>
        <w:tabs>
          <w:tab w:val="left" w:pos="420"/>
          <w:tab w:val="clear" w:pos="0"/>
        </w:tabs>
        <w:bidi w:val="0"/>
        <w:ind w:leftChars="0"/>
        <w:rPr>
          <w:rFonts w:hint="eastAsia"/>
          <w:color w:val="auto"/>
          <w:highlight w:val="none"/>
          <w:lang w:val="en-US" w:eastAsia="zh-CN"/>
        </w:rPr>
      </w:pPr>
    </w:p>
    <w:p w14:paraId="25843DAC">
      <w:pPr>
        <w:pStyle w:val="3"/>
        <w:tabs>
          <w:tab w:val="left" w:pos="420"/>
          <w:tab w:val="clear" w:pos="0"/>
        </w:tabs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bookmarkStart w:id="131" w:name="_Toc28582"/>
      <w:r>
        <w:rPr>
          <w:rFonts w:hint="eastAsia"/>
          <w:highlight w:val="none"/>
          <w:lang w:val="en-US" w:eastAsia="zh-CN"/>
        </w:rPr>
        <w:t>使用和保养</w:t>
      </w:r>
      <w:bookmarkEnd w:id="131"/>
    </w:p>
    <w:p w14:paraId="3AA54251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氨氮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传感器在测量时，先摘掉测量电极和参比电极的保护套，电极应在清水中浸泡2小时，活化完成 后，在去离子水中清洗干净，然后进行测试。</w:t>
      </w:r>
    </w:p>
    <w:p w14:paraId="7D170043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</w:t>
      </w:r>
      <w:r>
        <w:rPr>
          <w:rFonts w:hint="eastAsia"/>
          <w:highlight w:val="none"/>
          <w:lang w:val="en-US" w:eastAsia="zh-CN"/>
        </w:rPr>
        <w:t>长期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不用时</w:t>
      </w:r>
      <w:r>
        <w:rPr>
          <w:rFonts w:hint="eastAsia"/>
          <w:highlight w:val="none"/>
          <w:lang w:val="en-US" w:eastAsia="zh-CN"/>
        </w:rPr>
        <w:t>（2周以上）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应洗净，插入保护套，</w:t>
      </w:r>
      <w:r>
        <w:rPr>
          <w:rFonts w:hint="eastAsia"/>
          <w:highlight w:val="none"/>
          <w:lang w:val="en-US" w:eastAsia="zh-CN"/>
        </w:rPr>
        <w:t>干燥存储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。</w:t>
      </w:r>
    </w:p>
    <w:p w14:paraId="75F9CC10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传感器应避免长期浸 泡在蒸馏水或蛋白质溶液中，并防止与有机硅油脂接触。</w:t>
      </w:r>
    </w:p>
    <w:p w14:paraId="22CFEF05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使用时间较长的电极，它的PVC膜可能变成半透明或附有沉积物，此时可用蒸馏水（或去离子水）冲洗。</w:t>
      </w:r>
    </w:p>
    <w:p w14:paraId="03D24577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传感器使用时间较长，出现测量误差时，须配合仪表进行标定，进行校正。</w:t>
      </w:r>
    </w:p>
    <w:p w14:paraId="78D8C7B1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当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用以上方式对传感器进行维护和保养时仍不能进行标定和测量时，说明传感器已经失效，请更换传感器。</w:t>
      </w:r>
    </w:p>
    <w:p w14:paraId="504CEE14">
      <w:pPr>
        <w:rPr>
          <w:rFonts w:hint="eastAsia"/>
          <w:lang w:val="en-US" w:eastAsia="zh-CN"/>
        </w:rPr>
        <w:sectPr>
          <w:headerReference r:id="rId19" w:type="default"/>
          <w:footerReference r:id="rId21" w:type="default"/>
          <w:headerReference r:id="rId20" w:type="even"/>
          <w:footerReference r:id="rId22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51C785DF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2" w:name="_Toc14601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32"/>
    </w:p>
    <w:p w14:paraId="17A1F773">
      <w:pPr>
        <w:ind w:left="0" w:leftChars="0" w:firstLine="0" w:firstLineChars="0"/>
        <w:rPr>
          <w:rFonts w:hint="eastAsia"/>
          <w:lang w:val="en-US" w:eastAsia="zh-CN"/>
        </w:rPr>
        <w:sectPr>
          <w:headerReference r:id="rId23" w:type="default"/>
          <w:headerReference r:id="rId24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bookmarkEnd w:id="116"/>
    <w:bookmarkEnd w:id="117"/>
    <w:bookmarkEnd w:id="118"/>
    <w:bookmarkEnd w:id="119"/>
    <w:bookmarkEnd w:id="120"/>
    <w:p w14:paraId="4A4BDD4B">
      <w:pPr>
        <w:pStyle w:val="3"/>
        <w:bidi w:val="0"/>
        <w:rPr>
          <w:rFonts w:hint="default"/>
          <w:lang w:val="en-US" w:eastAsia="zh-CN"/>
        </w:rPr>
      </w:pPr>
      <w:bookmarkStart w:id="133" w:name="_Toc30041"/>
      <w:r>
        <w:rPr>
          <w:rFonts w:hint="eastAsia"/>
          <w:lang w:val="en-US" w:eastAsia="zh-CN"/>
        </w:rPr>
        <w:t>显示与操作单元</w:t>
      </w:r>
      <w:bookmarkEnd w:id="133"/>
    </w:p>
    <w:p w14:paraId="19AE1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45310" cy="3420110"/>
            <wp:effectExtent l="0" t="0" r="2540" b="8890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34FDD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5C54A6E0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4C750FF1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287"/>
      </w:tblGrid>
      <w:tr w14:paraId="4D39A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475DAE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6EC203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6675C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73C7BE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75C5D0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351C5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A4964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35EE49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42AFC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EF746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0C1C69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7CA4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60F4D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200051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5C4CE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7FE8A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73633E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测量单位</w:t>
            </w:r>
          </w:p>
        </w:tc>
      </w:tr>
      <w:tr w14:paraId="6AA57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7A885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479B7F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氨氮测量值</w:t>
            </w:r>
          </w:p>
        </w:tc>
      </w:tr>
      <w:tr w14:paraId="6A161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0" w:type="pct"/>
            <w:noWrap w:val="0"/>
            <w:vAlign w:val="center"/>
          </w:tcPr>
          <w:p w14:paraId="63B600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75202E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3CBC1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1F7AB9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3E4D95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</w:tbl>
    <w:p w14:paraId="3D71B6A4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0A5453B4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</w:t>
      </w:r>
      <w:r>
        <w:rPr>
          <w:lang w:val="en-US" w:eastAsia="zh-CN"/>
        </w:rPr>
        <w:t xml:space="preserve">。 </w:t>
      </w:r>
    </w:p>
    <w:p w14:paraId="60BD21B8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091E6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7CA90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1B1EE2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BB21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59B75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743C12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4E1079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2151F6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44781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11CE9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3655C9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470FF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47E4D1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67CAF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03343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08C215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76D207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09490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4B8391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96" w:type="pct"/>
            <w:noWrap w:val="0"/>
            <w:vAlign w:val="center"/>
          </w:tcPr>
          <w:p w14:paraId="3FEA70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</w:tc>
      </w:tr>
    </w:tbl>
    <w:p w14:paraId="7FF39F7A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6CA52FC7">
      <w:pPr>
        <w:bidi w:val="0"/>
      </w:pPr>
      <w:r>
        <w:rPr>
          <w:rFonts w:hint="default"/>
          <w:lang w:val="en-US" w:eastAsia="zh-CN"/>
        </w:rPr>
        <w:t>通</w:t>
      </w:r>
      <w:r>
        <w:rPr>
          <w:rFonts w:hint="eastAsia"/>
          <w:lang w:val="en-US" w:eastAsia="zh-CN"/>
        </w:rPr>
        <w:t>信</w:t>
      </w:r>
      <w:r>
        <w:rPr>
          <w:rFonts w:hint="default"/>
          <w:lang w:val="en-US" w:eastAsia="zh-CN"/>
        </w:rPr>
        <w:t xml:space="preserve">指示灯：绿色闪烁，表示通讯正常 </w:t>
      </w:r>
    </w:p>
    <w:p w14:paraId="60676FB9">
      <w:pPr>
        <w:bidi w:val="0"/>
      </w:pPr>
      <w:r>
        <w:rPr>
          <w:rFonts w:hint="default"/>
          <w:lang w:val="en-US" w:eastAsia="zh-CN"/>
        </w:rPr>
        <w:t xml:space="preserve">系统指示灯：绿色闪烁，表示设备正常 </w:t>
      </w:r>
    </w:p>
    <w:p w14:paraId="0FF72F14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2AEDF058">
      <w:pPr>
        <w:bidi w:val="0"/>
      </w:pPr>
      <w:r>
        <w:rPr>
          <w:rFonts w:hint="default"/>
          <w:lang w:val="en-US" w:eastAsia="zh-CN"/>
        </w:rPr>
        <w:t>红色闪烁，表示设备故障</w:t>
      </w:r>
    </w:p>
    <w:p w14:paraId="2080F3D7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7841D3AF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44310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2AF2AC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32948A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5E4CD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A3FC8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7229B3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7ADF9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0770CF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7B19F5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00511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9CAEA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718384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0D52E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013799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0687AF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37E0D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166071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6097DF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6AAD4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40BE11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21237F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7E25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3951F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02183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64F327FE">
      <w:pPr>
        <w:bidi w:val="0"/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表示当前采集液位值触发报警阈值</w:t>
      </w:r>
      <w:r>
        <w:rPr>
          <w:rFonts w:hint="default"/>
          <w:lang w:val="en-US" w:eastAsia="zh-CN"/>
        </w:rPr>
        <w:t>。</w:t>
      </w:r>
    </w:p>
    <w:p w14:paraId="07E8B85E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4" w:name="_Toc31661"/>
      <w:r>
        <w:rPr>
          <w:rFonts w:hint="eastAsia"/>
          <w:lang w:val="en-US" w:eastAsia="zh-CN"/>
        </w:rPr>
        <w:t>现场操作</w:t>
      </w:r>
      <w:bookmarkEnd w:id="134"/>
    </w:p>
    <w:p w14:paraId="7B622470">
      <w:pPr>
        <w:bidi w:val="0"/>
      </w:pPr>
      <w:r>
        <w:rPr>
          <w:lang w:val="en-US" w:eastAsia="zh-CN"/>
        </w:rPr>
        <w:t xml:space="preserve">设备按键操作如下： </w:t>
      </w:r>
    </w:p>
    <w:p w14:paraId="0E5AFCC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操作说明：单击按键点亮屏幕，显示监测值等信息；再次单击按键点亮背景灯，再次单击按键显示二维码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在二维码界面下三击按键进入参数设置界面。</w:t>
      </w:r>
    </w:p>
    <w:p w14:paraId="433E2AE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default" w:ascii="Calibri" w:hAnsi="Calibri" w:eastAsia="宋体" w:cs="Times New Roman"/>
          <w:kern w:val="2"/>
          <w:sz w:val="24"/>
          <w:szCs w:val="24"/>
        </w:rPr>
      </w:pPr>
      <w:r>
        <w:rPr>
          <w:rFonts w:hint="eastAsia"/>
          <w:lang w:val="en-US" w:eastAsia="zh-CN"/>
        </w:rPr>
        <w:t>参数设置：进入参数设置界面后，可以对设备地址（</w:t>
      </w:r>
      <w:r>
        <w:rPr>
          <w:rFonts w:hint="default"/>
          <w:lang w:val="en-US" w:eastAsia="zh-CN"/>
        </w:rPr>
        <w:t>Address</w:t>
      </w:r>
      <w:r>
        <w:rPr>
          <w:rFonts w:hint="eastAsia"/>
          <w:lang w:val="en-US" w:eastAsia="zh-CN"/>
        </w:rPr>
        <w:t>）、</w:t>
      </w:r>
      <w:r>
        <w:rPr>
          <w:rFonts w:hint="default"/>
          <w:lang w:val="en-US" w:eastAsia="zh-CN"/>
        </w:rPr>
        <w:t>LORA</w:t>
      </w:r>
      <w:r>
        <w:rPr>
          <w:rFonts w:hint="eastAsia"/>
          <w:lang w:val="en-US" w:eastAsia="zh-CN"/>
        </w:rPr>
        <w:t>网络（</w:t>
      </w:r>
      <w:r>
        <w:rPr>
          <w:rFonts w:hint="default"/>
          <w:lang w:val="en-US" w:eastAsia="zh-CN"/>
        </w:rPr>
        <w:t>Net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Channel</w:t>
      </w:r>
      <w:r>
        <w:rPr>
          <w:rFonts w:hint="eastAsia"/>
          <w:lang w:val="en-US" w:eastAsia="zh-CN"/>
        </w:rPr>
        <w:t>）等参数进行设置。在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界面，单击按键进行列表换行，如下图所示，按键双击进入该参数设置界面。</w:t>
      </w:r>
    </w:p>
    <w:p w14:paraId="69E2B3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77010" cy="1080135"/>
            <wp:effectExtent l="0" t="0" r="8890" b="5715"/>
            <wp:docPr id="6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1CCBA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参数界面</w:t>
      </w:r>
    </w:p>
    <w:p w14:paraId="11F0D3E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进入某一参数修改界面后，如下图所示，第一行为参数值，</w:t>
      </w:r>
      <w:r>
        <w:drawing>
          <wp:inline distT="0" distB="0" distL="114300" distR="114300">
            <wp:extent cx="118110" cy="125730"/>
            <wp:effectExtent l="0" t="0" r="15240" b="7620"/>
            <wp:docPr id="5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表示保存，</w:t>
      </w:r>
      <w:r>
        <w:drawing>
          <wp:inline distT="0" distB="0" distL="114300" distR="114300">
            <wp:extent cx="118110" cy="125730"/>
            <wp:effectExtent l="0" t="0" r="15240" b="7620"/>
            <wp:docPr id="5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表示返回到上一级；按键单击，操作标志在四个选项上循环切换，操作标志在某一选项上时该选项背景变为深色。</w:t>
      </w:r>
    </w:p>
    <w:p w14:paraId="29F660D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29385" cy="1080135"/>
            <wp:effectExtent l="0" t="0" r="18415" b="5715"/>
            <wp:docPr id="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A9A60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 w:eastAsiaTheme="minorEastAsia"/>
          <w:lang w:val="en-US" w:eastAsia="zh-CN"/>
        </w:rPr>
        <w:t>参数子界面示意图</w:t>
      </w:r>
    </w:p>
    <w:p w14:paraId="27F6EC9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参数修改示例，操作标志移动到第一行，双击按键，如下图所示，出现三角形后，单击按键，单击一次，该值加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，重复</w:t>
      </w:r>
      <w:r>
        <w:rPr>
          <w:rFonts w:hint="default"/>
          <w:lang w:val="en-US" w:eastAsia="zh-CN"/>
        </w:rPr>
        <w:t>0-9</w:t>
      </w:r>
      <w:r>
        <w:rPr>
          <w:rFonts w:hint="eastAsia"/>
          <w:lang w:val="en-US" w:eastAsia="zh-CN"/>
        </w:rPr>
        <w:t>的循环。值确定后，按键双击，三角形消失。操作标志移动到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5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，按键双击保存设置。操作标志移动到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5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，按键双击返回到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界面。</w:t>
      </w:r>
    </w:p>
    <w:p w14:paraId="168C2B3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</w:pPr>
      <w:r>
        <w:drawing>
          <wp:inline distT="0" distB="0" distL="114300" distR="114300">
            <wp:extent cx="2989580" cy="1080135"/>
            <wp:effectExtent l="0" t="0" r="1270" b="5715"/>
            <wp:docPr id="6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9A033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 w:eastAsiaTheme="minorEastAsia"/>
          <w:lang w:val="en-US" w:eastAsia="zh-CN"/>
        </w:rPr>
        <w:t>操作示意图</w:t>
      </w:r>
    </w:p>
    <w:p w14:paraId="0AADB1A4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校准操作：进入NHN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Calib页面可对传感器进行校准。校准时需准备在氨氮为86mV的标准溶液用于零点校准。</w:t>
      </w:r>
    </w:p>
    <w:p w14:paraId="0F2E7B30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零点校准：将传感器放入1mg/L标准溶液中，待5分钟数值稳定后进行零点校准。</w:t>
      </w:r>
      <w:r>
        <w:rPr>
          <w:rFonts w:hint="eastAsia"/>
          <w:lang w:val="en-US" w:eastAsia="zh-CN"/>
        </w:rPr>
        <w:t>进入参数设置界面后再进入校准子界面，光标选中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Calib-1mg/L，双击按键，等待界面显示OK。</w:t>
      </w:r>
    </w:p>
    <w:p w14:paraId="4B6B4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482725" cy="1080135"/>
            <wp:effectExtent l="0" t="0" r="3175" b="5715"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60FFC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校准子界面</w:t>
      </w:r>
    </w:p>
    <w:p w14:paraId="051373DA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斜率校准：将传感器放入10mg/L标准溶液中，待5分钟数值稳定后进行斜率校准。</w:t>
      </w:r>
      <w:r>
        <w:rPr>
          <w:rFonts w:hint="eastAsia"/>
          <w:lang w:val="en-US" w:eastAsia="zh-CN"/>
        </w:rPr>
        <w:t>进入参数设置界面后再进入校准子界面，光标选中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Calib-10mg/L，双击按键，等待界面显示OK。</w:t>
      </w:r>
    </w:p>
    <w:p w14:paraId="35EE26B8">
      <w:pPr>
        <w:bidi w:val="0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校准说明：仅传感器不准时使用，非必要无需进行校准。</w:t>
      </w:r>
    </w:p>
    <w:p w14:paraId="7202E5E3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25BCE99B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8"/>
        <w:tblW w:w="50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1030"/>
        <w:gridCol w:w="1036"/>
        <w:gridCol w:w="1889"/>
      </w:tblGrid>
      <w:tr w14:paraId="1EEEE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5" w:type="pct"/>
            <w:shd w:val="clear" w:color="auto" w:fill="D7D7D7" w:themeFill="background1" w:themeFillShade="D8"/>
            <w:vAlign w:val="center"/>
          </w:tcPr>
          <w:p w14:paraId="6E175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1040" w:type="pct"/>
            <w:shd w:val="clear" w:color="auto" w:fill="D7D7D7" w:themeFill="background1" w:themeFillShade="D8"/>
            <w:vAlign w:val="center"/>
          </w:tcPr>
          <w:p w14:paraId="518B2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072" w:type="pct"/>
            <w:shd w:val="clear" w:color="auto" w:fill="D7D7D7" w:themeFill="background1" w:themeFillShade="D8"/>
            <w:vAlign w:val="center"/>
          </w:tcPr>
          <w:p w14:paraId="575E8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1950" w:type="pct"/>
            <w:shd w:val="clear" w:color="auto" w:fill="D7D7D7" w:themeFill="background1" w:themeFillShade="D8"/>
            <w:vAlign w:val="center"/>
          </w:tcPr>
          <w:p w14:paraId="4095B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3002F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5" w:type="pct"/>
            <w:vMerge w:val="restart"/>
            <w:vAlign w:val="center"/>
          </w:tcPr>
          <w:p w14:paraId="1D517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1040" w:type="pct"/>
            <w:vAlign w:val="center"/>
          </w:tcPr>
          <w:p w14:paraId="3D441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72" w:type="pct"/>
            <w:vAlign w:val="center"/>
          </w:tcPr>
          <w:p w14:paraId="0BD8E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50" w:type="pct"/>
            <w:vAlign w:val="center"/>
          </w:tcPr>
          <w:p w14:paraId="25474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设备地址（仅LoRa）</w:t>
            </w:r>
          </w:p>
        </w:tc>
      </w:tr>
      <w:tr w14:paraId="2BA7D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5" w:type="pct"/>
            <w:vMerge w:val="continue"/>
            <w:vAlign w:val="center"/>
          </w:tcPr>
          <w:p w14:paraId="3E727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4CEE8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72" w:type="pct"/>
            <w:vAlign w:val="center"/>
          </w:tcPr>
          <w:p w14:paraId="3CD16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50" w:type="pct"/>
            <w:vAlign w:val="center"/>
          </w:tcPr>
          <w:p w14:paraId="2AF7E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LoRa网络ID（仅LoRa）</w:t>
            </w:r>
          </w:p>
        </w:tc>
      </w:tr>
      <w:tr w14:paraId="7FE6F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35" w:type="pct"/>
            <w:vMerge w:val="continue"/>
            <w:vAlign w:val="center"/>
          </w:tcPr>
          <w:p w14:paraId="3668F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26912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72" w:type="pct"/>
            <w:vAlign w:val="center"/>
          </w:tcPr>
          <w:p w14:paraId="0BCAE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50" w:type="pct"/>
            <w:vAlign w:val="center"/>
          </w:tcPr>
          <w:p w14:paraId="0FE89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LoRa网络通道（仅LoRa）</w:t>
            </w:r>
          </w:p>
        </w:tc>
      </w:tr>
      <w:tr w14:paraId="689B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5" w:type="pct"/>
            <w:vMerge w:val="continue"/>
            <w:vAlign w:val="center"/>
          </w:tcPr>
          <w:p w14:paraId="55632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6232B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NHNCalib</w:t>
            </w:r>
          </w:p>
        </w:tc>
        <w:tc>
          <w:tcPr>
            <w:tcW w:w="1072" w:type="pct"/>
            <w:vAlign w:val="center"/>
          </w:tcPr>
          <w:p w14:paraId="1602A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6F6A0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校准</w:t>
            </w:r>
          </w:p>
        </w:tc>
      </w:tr>
      <w:tr w14:paraId="6D5FB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5" w:type="pct"/>
            <w:vMerge w:val="continue"/>
            <w:vAlign w:val="center"/>
          </w:tcPr>
          <w:p w14:paraId="0742D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74CA0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2" w:type="pct"/>
            <w:vAlign w:val="center"/>
          </w:tcPr>
          <w:p w14:paraId="704DE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1187E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1BB9D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5" w:type="pct"/>
            <w:vAlign w:val="center"/>
          </w:tcPr>
          <w:p w14:paraId="17E77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40" w:type="pct"/>
            <w:vAlign w:val="center"/>
          </w:tcPr>
          <w:p w14:paraId="31E01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2" w:type="pct"/>
            <w:vAlign w:val="center"/>
          </w:tcPr>
          <w:p w14:paraId="417D8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50" w:type="pct"/>
            <w:vAlign w:val="center"/>
          </w:tcPr>
          <w:p w14:paraId="4DD96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可修改设备地址</w:t>
            </w:r>
          </w:p>
        </w:tc>
      </w:tr>
      <w:tr w14:paraId="08C47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5" w:type="pct"/>
            <w:vAlign w:val="center"/>
          </w:tcPr>
          <w:p w14:paraId="7A9FB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40" w:type="pct"/>
            <w:vAlign w:val="center"/>
          </w:tcPr>
          <w:p w14:paraId="43136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2" w:type="pct"/>
            <w:vAlign w:val="center"/>
          </w:tcPr>
          <w:p w14:paraId="25A8B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50" w:type="pct"/>
            <w:vAlign w:val="center"/>
          </w:tcPr>
          <w:p w14:paraId="5CB25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可修改设备LoRa网络ID</w:t>
            </w:r>
          </w:p>
        </w:tc>
      </w:tr>
      <w:tr w14:paraId="2931D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5" w:type="pct"/>
            <w:vAlign w:val="center"/>
          </w:tcPr>
          <w:p w14:paraId="5128A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bookmarkStart w:id="135" w:name="_Toc6386"/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40" w:type="pct"/>
            <w:vAlign w:val="center"/>
          </w:tcPr>
          <w:p w14:paraId="58623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2" w:type="pct"/>
            <w:vAlign w:val="center"/>
          </w:tcPr>
          <w:p w14:paraId="7B38F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50" w:type="pct"/>
            <w:vAlign w:val="center"/>
          </w:tcPr>
          <w:p w14:paraId="5E75B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可修改设备LoRa网络通道</w:t>
            </w:r>
          </w:p>
        </w:tc>
      </w:tr>
      <w:tr w14:paraId="009CA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5" w:type="pct"/>
            <w:vMerge w:val="restart"/>
            <w:vAlign w:val="center"/>
          </w:tcPr>
          <w:p w14:paraId="47BA8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NHNCalib</w:t>
            </w:r>
          </w:p>
        </w:tc>
        <w:tc>
          <w:tcPr>
            <w:tcW w:w="1040" w:type="pct"/>
            <w:vAlign w:val="center"/>
          </w:tcPr>
          <w:p w14:paraId="738AF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2" w:type="pct"/>
            <w:vAlign w:val="center"/>
          </w:tcPr>
          <w:p w14:paraId="1DE7B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6D6D2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077C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5" w:type="pct"/>
            <w:vMerge w:val="continue"/>
            <w:vAlign w:val="center"/>
          </w:tcPr>
          <w:p w14:paraId="13A1D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28597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Calib-1mg/L</w:t>
            </w:r>
          </w:p>
        </w:tc>
        <w:tc>
          <w:tcPr>
            <w:tcW w:w="1072" w:type="pct"/>
            <w:vAlign w:val="center"/>
          </w:tcPr>
          <w:p w14:paraId="34B45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45822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零点校准</w:t>
            </w:r>
          </w:p>
        </w:tc>
      </w:tr>
      <w:tr w14:paraId="4DFE5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5" w:type="pct"/>
            <w:vMerge w:val="continue"/>
            <w:vAlign w:val="center"/>
          </w:tcPr>
          <w:p w14:paraId="48644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7FEFF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Calib-10mg/L</w:t>
            </w:r>
          </w:p>
        </w:tc>
        <w:tc>
          <w:tcPr>
            <w:tcW w:w="1072" w:type="pct"/>
            <w:vAlign w:val="center"/>
          </w:tcPr>
          <w:p w14:paraId="42A8A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5F842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斜率校准</w:t>
            </w:r>
          </w:p>
        </w:tc>
      </w:tr>
    </w:tbl>
    <w:p w14:paraId="0143AC91"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0CCAEEC1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6" w:name="_Toc26840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5"/>
      <w:bookmarkEnd w:id="136"/>
    </w:p>
    <w:p w14:paraId="4A299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世电设备助手小程序</w:t>
      </w:r>
      <w:r>
        <w:rPr>
          <w:rFonts w:hint="eastAsia" w:ascii="Times New Roman" w:hAnsi="Times New Roman"/>
          <w:lang w:val="en-US" w:eastAsia="zh-CN"/>
        </w:rPr>
        <w:t>”或web 端绑定设备，实现远程监控、异常告警、数据报表等功能。</w:t>
      </w:r>
    </w:p>
    <w:p w14:paraId="55ED6B3D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6227D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0F783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0CBAD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144F3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端地址：https://www.west-iot.com/wessass</w:t>
      </w:r>
    </w:p>
    <w:p w14:paraId="5E580181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450A8C63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7EF53CC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lang w:val="en-US" w:eastAsia="zh-CN"/>
        </w:rPr>
        <w:t>点击</w:t>
      </w:r>
      <w:r>
        <w:rPr>
          <w:rFonts w:hint="eastAsia"/>
          <w:lang w:val="en-US" w:eastAsia="zh-CN"/>
        </w:rPr>
        <w:t>项目</w:t>
      </w:r>
      <w:r>
        <w:rPr>
          <w:lang w:val="en-US" w:eastAsia="zh-CN"/>
        </w:rPr>
        <w:t>--</w:t>
      </w:r>
      <w:r>
        <w:rPr>
          <w:rFonts w:hint="eastAsia"/>
          <w:lang w:val="en-US" w:eastAsia="zh-CN"/>
        </w:rPr>
        <w:t>选择项目--点击</w:t>
      </w:r>
      <w: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--点击设备管理。</w:t>
      </w:r>
    </w:p>
    <w:p w14:paraId="114A337C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6FD2F5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64425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7194D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0D535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0E70A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AC5691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15C33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43EC8C0B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955834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29B7D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5AB4D97A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60370" cy="1259840"/>
            <wp:effectExtent l="0" t="0" r="11430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B977A3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14909B37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31F79554">
      <w:pPr>
        <w:spacing w:line="240" w:lineRule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。云平台</w:t>
      </w:r>
      <w:r>
        <w:rPr>
          <w:rFonts w:hint="eastAsia"/>
          <w:lang w:val="en-US" w:eastAsia="zh-CN"/>
        </w:rPr>
        <w:t>及小程序</w:t>
      </w:r>
      <w:r>
        <w:rPr>
          <w:rFonts w:hint="eastAsia" w:ascii="Times New Roman" w:hAnsi="Times New Roman"/>
          <w:lang w:val="en-US" w:eastAsia="zh-CN"/>
        </w:rPr>
        <w:t>详细操作指南可</w:t>
      </w:r>
      <w:r>
        <w:rPr>
          <w:rFonts w:hint="eastAsia"/>
          <w:lang w:val="en-US" w:eastAsia="zh-CN"/>
        </w:rPr>
        <w:t>在小程序文档中心查看</w:t>
      </w:r>
      <w:r>
        <w:rPr>
          <w:rFonts w:hint="eastAsia" w:ascii="Times New Roman" w:hAnsi="Times New Roman"/>
          <w:lang w:val="en-US" w:eastAsia="zh-CN"/>
        </w:rPr>
        <w:t>。</w:t>
      </w:r>
    </w:p>
    <w:p w14:paraId="50342D35">
      <w:pPr>
        <w:ind w:left="0" w:leftChars="0" w:firstLine="0" w:firstLineChars="0"/>
        <w:rPr>
          <w:rFonts w:hint="eastAsia" w:ascii="Times New Roman" w:hAnsi="Times New Roman" w:eastAsia="宋体"/>
          <w:b/>
          <w:sz w:val="21"/>
          <w:lang w:val="en-US" w:eastAsia="zh-CN"/>
        </w:rPr>
      </w:pPr>
    </w:p>
    <w:p w14:paraId="33EA903F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7" w:name="_Toc19224"/>
      <w:r>
        <w:rPr>
          <w:rFonts w:hint="eastAsia"/>
          <w:lang w:val="en-US" w:eastAsia="zh-CN"/>
        </w:rPr>
        <w:t>设备本地蓝牙配置</w:t>
      </w:r>
      <w:bookmarkEnd w:id="137"/>
    </w:p>
    <w:p w14:paraId="63234D1A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46C5C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</w:t>
      </w:r>
      <w:r>
        <w:rPr>
          <w:rFonts w:hint="eastAsia" w:ascii="Times New Roman" w:hAnsi="Times New Roman"/>
          <w:lang w:val="en-US" w:eastAsia="zh-CN"/>
        </w:rPr>
        <w:t>点击搜索设备。搜索到想要连接的设备后可点击停止搜索。</w:t>
      </w:r>
    </w:p>
    <w:p w14:paraId="300AC444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45640" cy="1367790"/>
            <wp:effectExtent l="0" t="0" r="16510" b="3810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B11147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1AE5605B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59F8D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</w:t>
      </w:r>
      <w:r>
        <w:rPr>
          <w:rFonts w:hint="eastAsia"/>
          <w:lang w:val="en-US" w:eastAsia="zh-CN"/>
        </w:rPr>
        <w:t>名称，连接设备</w:t>
      </w:r>
      <w:r>
        <w:rPr>
          <w:rFonts w:hint="eastAsia" w:ascii="Times New Roman" w:hAnsi="Times New Roman"/>
          <w:lang w:val="en-US" w:eastAsia="zh-CN"/>
        </w:rPr>
        <w:t>。</w:t>
      </w:r>
    </w:p>
    <w:p w14:paraId="43AEEE3E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5240" cy="1367790"/>
            <wp:effectExtent l="0" t="0" r="10160" b="381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2AA6A8">
      <w:pPr>
        <w:pStyle w:val="2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055FF697">
      <w:pPr>
        <w:keepNext w:val="0"/>
        <w:keepLines w:val="0"/>
        <w:widowControl w:val="0"/>
        <w:suppressLineNumbers w:val="0"/>
        <w:spacing w:before="0" w:beforeAutospacing="0" w:after="0" w:afterAutospacing="0" w:line="240" w:lineRule="atLeast"/>
        <w:ind w:left="0" w:leftChars="0" w:right="0" w:firstLine="0" w:firstLineChars="0"/>
        <w:jc w:val="left"/>
        <w:rPr>
          <w:rFonts w:hint="eastAsia" w:ascii="Times New Roman" w:hAnsi="Times New Roman" w:eastAsia="宋体" w:cs="Times New Roman"/>
          <w:b/>
          <w:bCs/>
          <w:kern w:val="2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kern w:val="2"/>
          <w:sz w:val="18"/>
          <w:szCs w:val="18"/>
          <w:lang w:val="en-US" w:eastAsia="zh-CN" w:bidi="ar"/>
        </w:rPr>
        <w:t>第三步：操作设备</w:t>
      </w:r>
    </w:p>
    <w:p w14:paraId="79D4EF9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00" w:lineRule="exact"/>
        <w:ind w:left="0" w:right="0" w:firstLine="360" w:firstLineChars="200"/>
        <w:jc w:val="left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18"/>
          <w:szCs w:val="18"/>
          <w:lang w:val="en-US" w:eastAsia="zh-CN" w:bidi="ar"/>
        </w:rPr>
        <w:t>连接设备成功后，可在状态中查看设备状态数据，配置中修改设备属性，运维中重启、识别、升级设备。</w:t>
      </w:r>
    </w:p>
    <w:p w14:paraId="354606A7">
      <w:pPr>
        <w:ind w:left="0" w:leftChars="0" w:firstLine="0" w:firstLine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0DABE7E4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8" w:name="_Toc26753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8"/>
    </w:p>
    <w:p w14:paraId="147A4C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sectPr>
          <w:headerReference r:id="rId27" w:type="first"/>
          <w:headerReference r:id="rId25" w:type="default"/>
          <w:headerReference r:id="rId2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30秒</w:t>
      </w:r>
      <w:r>
        <w:t>，上报周期默认为</w:t>
      </w:r>
      <w:r>
        <w:rPr>
          <w:rFonts w:hint="eastAsia"/>
          <w:lang w:val="en-US" w:eastAsia="zh-CN"/>
        </w:rPr>
        <w:t>5分钟</w:t>
      </w:r>
      <w:r>
        <w:t>，均可调）</w:t>
      </w:r>
    </w:p>
    <w:p w14:paraId="72743662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9" w:name="_Toc16246"/>
      <w:r>
        <w:rPr>
          <w:rFonts w:hint="eastAsia" w:ascii="Times New Roman" w:hAnsi="Times New Roman" w:eastAsia="宋体"/>
          <w:b/>
          <w:sz w:val="21"/>
          <w:lang w:val="en-US" w:eastAsia="zh-CN"/>
        </w:rPr>
        <w:t>故障分析及排除</w:t>
      </w:r>
      <w:bookmarkEnd w:id="139"/>
    </w:p>
    <w:p w14:paraId="3BBAA13F">
      <w:p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氨氮变送器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p w14:paraId="6D21EB6E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3"/>
        <w:gridCol w:w="2052"/>
      </w:tblGrid>
      <w:tr w14:paraId="02EFA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7" w:type="pct"/>
            <w:shd w:val="clear" w:color="auto" w:fill="D7D7D7" w:themeFill="background1" w:themeFillShade="D8"/>
            <w:vAlign w:val="center"/>
          </w:tcPr>
          <w:p w14:paraId="76CB19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0" w:type="pct"/>
            <w:shd w:val="clear" w:color="auto" w:fill="D7D7D7" w:themeFill="background1" w:themeFillShade="D8"/>
            <w:vAlign w:val="center"/>
          </w:tcPr>
          <w:p w14:paraId="4A7CD7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1" w:type="pct"/>
            <w:shd w:val="clear" w:color="auto" w:fill="D7D7D7" w:themeFill="background1" w:themeFillShade="D8"/>
            <w:vAlign w:val="center"/>
          </w:tcPr>
          <w:p w14:paraId="089F34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63002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2E6195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0" w:type="pct"/>
            <w:vAlign w:val="center"/>
          </w:tcPr>
          <w:p w14:paraId="33D12C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2061" w:type="pct"/>
            <w:vAlign w:val="center"/>
          </w:tcPr>
          <w:p w14:paraId="17EB17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23A6E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5F138B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采集值异常</w:t>
            </w:r>
          </w:p>
        </w:tc>
        <w:tc>
          <w:tcPr>
            <w:tcW w:w="1630" w:type="pct"/>
            <w:vAlign w:val="center"/>
          </w:tcPr>
          <w:p w14:paraId="7E4AA1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探头连接断开</w:t>
            </w:r>
          </w:p>
        </w:tc>
        <w:tc>
          <w:tcPr>
            <w:tcW w:w="2061" w:type="pct"/>
            <w:vAlign w:val="center"/>
          </w:tcPr>
          <w:p w14:paraId="59B492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查看现场主机与探头连接是否正常</w:t>
            </w:r>
          </w:p>
        </w:tc>
      </w:tr>
      <w:tr w14:paraId="40611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07" w:type="pct"/>
            <w:vMerge w:val="restart"/>
            <w:vAlign w:val="center"/>
          </w:tcPr>
          <w:p w14:paraId="57CFE0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0" w:type="pct"/>
            <w:vAlign w:val="center"/>
          </w:tcPr>
          <w:p w14:paraId="380C6F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5C37AA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2061" w:type="pct"/>
            <w:vAlign w:val="center"/>
          </w:tcPr>
          <w:p w14:paraId="7DB650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（1）正确安装SIM卡，（2）联系网络运营商架设网络，或查询当地4G网络的信号强度。</w:t>
            </w:r>
          </w:p>
        </w:tc>
      </w:tr>
      <w:tr w14:paraId="0AEB4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07" w:type="pct"/>
            <w:vMerge w:val="continue"/>
            <w:vAlign w:val="center"/>
          </w:tcPr>
          <w:p w14:paraId="1DAFDA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46C5AC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2061" w:type="pct"/>
            <w:vAlign w:val="center"/>
          </w:tcPr>
          <w:p w14:paraId="716874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2ED5F8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  <w:tr w14:paraId="394F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3347B6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仪表无显示</w:t>
            </w:r>
          </w:p>
        </w:tc>
        <w:tc>
          <w:tcPr>
            <w:tcW w:w="1630" w:type="pct"/>
            <w:vAlign w:val="center"/>
          </w:tcPr>
          <w:p w14:paraId="5EF25E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电池电量低</w:t>
            </w:r>
          </w:p>
        </w:tc>
        <w:tc>
          <w:tcPr>
            <w:tcW w:w="2061" w:type="pct"/>
            <w:vAlign w:val="center"/>
          </w:tcPr>
          <w:p w14:paraId="4F4D22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更换新电池</w:t>
            </w:r>
          </w:p>
        </w:tc>
      </w:tr>
      <w:tr w14:paraId="0006E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7" w:type="pct"/>
            <w:vAlign w:val="center"/>
          </w:tcPr>
          <w:p w14:paraId="446509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卡读不到</w:t>
            </w:r>
          </w:p>
        </w:tc>
        <w:tc>
          <w:tcPr>
            <w:tcW w:w="1630" w:type="pct"/>
            <w:vAlign w:val="center"/>
          </w:tcPr>
          <w:p w14:paraId="16F37D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卡未插好/卡没费/卡绑定</w:t>
            </w:r>
          </w:p>
        </w:tc>
        <w:tc>
          <w:tcPr>
            <w:tcW w:w="2061" w:type="pct"/>
            <w:vAlign w:val="top"/>
          </w:tcPr>
          <w:p w14:paraId="4CA0E2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重插</w:t>
            </w:r>
          </w:p>
          <w:p w14:paraId="4543F5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查询卡费续费</w:t>
            </w:r>
          </w:p>
          <w:p w14:paraId="708329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卡解绑</w:t>
            </w:r>
          </w:p>
        </w:tc>
      </w:tr>
      <w:tr w14:paraId="399C4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7" w:type="pct"/>
            <w:vAlign w:val="center"/>
          </w:tcPr>
          <w:p w14:paraId="50A8BD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平台无数据</w:t>
            </w:r>
          </w:p>
        </w:tc>
        <w:tc>
          <w:tcPr>
            <w:tcW w:w="1630" w:type="pct"/>
            <w:vAlign w:val="center"/>
          </w:tcPr>
          <w:p w14:paraId="034148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一般程序有BUG</w:t>
            </w:r>
          </w:p>
        </w:tc>
        <w:tc>
          <w:tcPr>
            <w:tcW w:w="2061" w:type="pct"/>
            <w:vAlign w:val="top"/>
          </w:tcPr>
          <w:p w14:paraId="33569C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检查程序</w:t>
            </w:r>
          </w:p>
        </w:tc>
      </w:tr>
    </w:tbl>
    <w:p w14:paraId="72807B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jc w:val="both"/>
        <w:textAlignment w:val="auto"/>
        <w:rPr>
          <w:rFonts w:hint="eastAsia"/>
          <w:lang w:val="en-US" w:eastAsia="zh-CN"/>
        </w:rPr>
        <w:sectPr>
          <w:headerReference r:id="rId28" w:type="default"/>
          <w:headerReference r:id="rId29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5840AB13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40" w:name="_Toc31228"/>
      <w:r>
        <w:rPr>
          <w:rFonts w:hint="eastAsia" w:ascii="Times New Roman" w:hAnsi="Times New Roman" w:eastAsia="宋体"/>
          <w:b/>
          <w:sz w:val="21"/>
          <w:lang w:val="en-US" w:eastAsia="zh-CN"/>
        </w:rPr>
        <w:t>质保及售后服务</w:t>
      </w:r>
      <w:bookmarkEnd w:id="140"/>
    </w:p>
    <w:p w14:paraId="1CD34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0F0E6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7178B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75B28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31FC7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786DA8F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360" w:firstLineChars="200"/>
        <w:jc w:val="left"/>
        <w:textAlignment w:val="auto"/>
        <w:rPr>
          <w:rFonts w:hint="eastAsia"/>
          <w:lang w:val="en-US" w:eastAsia="zh-CN"/>
        </w:rPr>
        <w:sectPr>
          <w:headerReference r:id="rId30" w:type="default"/>
          <w:headerReference r:id="rId31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 w:ascii="Times New Roman" w:hAnsi="Times New Roman" w:eastAsia="宋体"/>
        </w:rPr>
        <w:t>(2) 客户对产品自行拆解、修理和改装造成</w:t>
      </w:r>
      <w:r>
        <w:rPr>
          <w:rFonts w:hint="eastAsia" w:ascii="宋体" w:hAnsi="宋体" w:eastAsia="宋体" w:cs="宋体"/>
          <w:kern w:val="2"/>
          <w:sz w:val="18"/>
          <w:szCs w:val="18"/>
          <w:lang w:val="en-US" w:eastAsia="zh-CN" w:bidi="ar"/>
          <w:woUserID w:val="1"/>
        </w:rPr>
        <w:t>产品故障。</w:t>
      </w:r>
    </w:p>
    <w:p w14:paraId="30163D32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41" w:name="_Toc25962"/>
      <w:r>
        <w:rPr>
          <w:rFonts w:hint="eastAsia"/>
          <w:b/>
          <w:sz w:val="21"/>
          <w:lang w:val="en-US" w:eastAsia="zh-CN"/>
        </w:rPr>
        <w:t xml:space="preserve">附录 </w:t>
      </w:r>
      <w:r>
        <w:rPr>
          <w:rFonts w:hint="eastAsia" w:ascii="Times New Roman" w:hAnsi="Times New Roman" w:eastAsia="宋体"/>
          <w:b/>
          <w:sz w:val="21"/>
          <w:lang w:val="en-US" w:eastAsia="zh-CN"/>
        </w:rPr>
        <w:t>选型与订货</w:t>
      </w:r>
      <w:bookmarkEnd w:id="141"/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3394"/>
      </w:tblGrid>
      <w:tr w14:paraId="7FCE6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044FB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WE-T</w:t>
            </w:r>
            <w:r>
              <w:rPr>
                <w:rFonts w:hint="eastAsia"/>
                <w:highlight w:val="none"/>
                <w:lang w:val="en-US" w:eastAsia="zh-CN"/>
              </w:rPr>
              <w:t>124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产品选型参数表</w:t>
            </w:r>
          </w:p>
          <w:p w14:paraId="6F6FD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</w:tr>
      <w:tr w14:paraId="3862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1592" w:type="pct"/>
            <w:shd w:val="clear" w:color="auto" w:fill="D7D7D7" w:themeFill="background1" w:themeFillShade="D8"/>
            <w:vAlign w:val="center"/>
          </w:tcPr>
          <w:p w14:paraId="69FC6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参数类别</w:t>
            </w:r>
          </w:p>
        </w:tc>
        <w:tc>
          <w:tcPr>
            <w:tcW w:w="3407" w:type="pct"/>
            <w:shd w:val="clear" w:color="auto" w:fill="D7D7D7" w:themeFill="background1" w:themeFillShade="D8"/>
            <w:vAlign w:val="center"/>
          </w:tcPr>
          <w:p w14:paraId="79256C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选型代码与规格说明</w:t>
            </w:r>
          </w:p>
        </w:tc>
      </w:tr>
      <w:tr w14:paraId="3AEC3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2" w:type="pct"/>
            <w:vMerge w:val="restart"/>
            <w:vAlign w:val="center"/>
          </w:tcPr>
          <w:p w14:paraId="51AD7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通讯方式</w:t>
            </w:r>
          </w:p>
        </w:tc>
        <w:tc>
          <w:tcPr>
            <w:tcW w:w="3407" w:type="pct"/>
            <w:vAlign w:val="center"/>
          </w:tcPr>
          <w:p w14:paraId="10272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LR：LoRa</w:t>
            </w:r>
          </w:p>
        </w:tc>
      </w:tr>
      <w:tr w14:paraId="3F1AF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2" w:type="pct"/>
            <w:vMerge w:val="continue"/>
            <w:vAlign w:val="center"/>
          </w:tcPr>
          <w:p w14:paraId="738312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741B4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4G：4G/Cat1</w:t>
            </w:r>
          </w:p>
        </w:tc>
      </w:tr>
      <w:tr w14:paraId="7636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2" w:type="pct"/>
            <w:vMerge w:val="continue"/>
            <w:vAlign w:val="center"/>
          </w:tcPr>
          <w:p w14:paraId="328CE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38342A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NB：NB</w:t>
            </w:r>
          </w:p>
        </w:tc>
      </w:tr>
      <w:tr w14:paraId="59389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Align w:val="center"/>
          </w:tcPr>
          <w:p w14:paraId="4C1633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A精度等级</w:t>
            </w:r>
          </w:p>
        </w:tc>
        <w:tc>
          <w:tcPr>
            <w:tcW w:w="3407" w:type="pct"/>
            <w:vAlign w:val="center"/>
          </w:tcPr>
          <w:p w14:paraId="382F0C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N/A</w:t>
            </w:r>
          </w:p>
        </w:tc>
      </w:tr>
      <w:tr w14:paraId="44F1A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restart"/>
            <w:vAlign w:val="center"/>
          </w:tcPr>
          <w:p w14:paraId="6615F3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R量程范围</w:t>
            </w:r>
          </w:p>
        </w:tc>
        <w:tc>
          <w:tcPr>
            <w:tcW w:w="3407" w:type="pct"/>
            <w:vAlign w:val="center"/>
          </w:tcPr>
          <w:p w14:paraId="404191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R10：0~10mg/L</w:t>
            </w:r>
          </w:p>
        </w:tc>
      </w:tr>
      <w:tr w14:paraId="26489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continue"/>
            <w:vAlign w:val="center"/>
          </w:tcPr>
          <w:p w14:paraId="45AAA1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2309F9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R100：0~100mg/L</w:t>
            </w:r>
          </w:p>
        </w:tc>
      </w:tr>
      <w:tr w14:paraId="2A402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continue"/>
            <w:vAlign w:val="center"/>
          </w:tcPr>
          <w:p w14:paraId="6C425E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6FE456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R1000：0~1000mg/L</w:t>
            </w:r>
          </w:p>
        </w:tc>
      </w:tr>
      <w:tr w14:paraId="58518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tblHeader/>
        </w:trPr>
        <w:tc>
          <w:tcPr>
            <w:tcW w:w="1592" w:type="pct"/>
            <w:vMerge w:val="restart"/>
            <w:vAlign w:val="center"/>
          </w:tcPr>
          <w:p w14:paraId="15BEEF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P供电方式</w:t>
            </w:r>
          </w:p>
        </w:tc>
        <w:tc>
          <w:tcPr>
            <w:tcW w:w="3407" w:type="pct"/>
            <w:vAlign w:val="center"/>
          </w:tcPr>
          <w:p w14:paraId="7D485F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P0：</w:t>
            </w:r>
            <w:r>
              <w:rPr>
                <w:rFonts w:hint="eastAsia"/>
                <w:highlight w:val="none"/>
                <w:lang w:val="en-US" w:eastAsia="zh-CN"/>
              </w:rPr>
              <w:t>电池供电</w:t>
            </w:r>
          </w:p>
        </w:tc>
      </w:tr>
      <w:tr w14:paraId="02F2D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continue"/>
            <w:vAlign w:val="center"/>
          </w:tcPr>
          <w:p w14:paraId="0E6B57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6E9B31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P1：9~30VDC供电</w:t>
            </w:r>
          </w:p>
        </w:tc>
      </w:tr>
      <w:tr w14:paraId="4B9EE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Align w:val="center"/>
          </w:tcPr>
          <w:p w14:paraId="34783B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传感器安装方式</w:t>
            </w:r>
          </w:p>
        </w:tc>
        <w:tc>
          <w:tcPr>
            <w:tcW w:w="3407" w:type="pct"/>
            <w:vAlign w:val="center"/>
          </w:tcPr>
          <w:p w14:paraId="1D7A1C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N/A</w:t>
            </w:r>
          </w:p>
        </w:tc>
      </w:tr>
      <w:tr w14:paraId="6B1AC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5000" w:type="pct"/>
            <w:gridSpan w:val="2"/>
            <w:vAlign w:val="center"/>
          </w:tcPr>
          <w:p w14:paraId="5512A0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备注：可定制量程范围、供电方式</w:t>
            </w:r>
          </w:p>
        </w:tc>
      </w:tr>
    </w:tbl>
    <w:p w14:paraId="3BF1F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示例：</w:t>
      </w:r>
    </w:p>
    <w:p w14:paraId="0A06C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WE-T</w:t>
      </w:r>
      <w:r>
        <w:rPr>
          <w:rFonts w:hint="eastAsia"/>
          <w:lang w:val="en-US" w:eastAsia="zh-CN"/>
        </w:rPr>
        <w:t>124</w:t>
      </w:r>
      <w:r>
        <w:rPr>
          <w:rFonts w:hint="default" w:ascii="Times New Roman" w:hAnsi="Times New Roman" w:eastAsia="宋体"/>
          <w:lang w:val="en-US" w:eastAsia="zh-CN"/>
        </w:rPr>
        <w:t>-LR-R</w:t>
      </w:r>
      <w:r>
        <w:rPr>
          <w:rFonts w:hint="eastAsia"/>
          <w:lang w:val="en-US" w:eastAsia="zh-CN"/>
        </w:rPr>
        <w:t>10</w:t>
      </w:r>
      <w:r>
        <w:rPr>
          <w:rFonts w:hint="default" w:ascii="Times New Roman" w:hAnsi="Times New Roman" w:eastAsia="宋体"/>
          <w:lang w:val="en-US" w:eastAsia="zh-CN"/>
        </w:rPr>
        <w:t>-P0</w:t>
      </w:r>
    </w:p>
    <w:p w14:paraId="0285A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LoRa</w:t>
      </w:r>
      <w:r>
        <w:rPr>
          <w:rFonts w:hint="eastAsia"/>
          <w:lang w:val="en-US" w:eastAsia="zh-CN"/>
        </w:rPr>
        <w:t>氨氮</w:t>
      </w:r>
      <w:r>
        <w:rPr>
          <w:rFonts w:hint="eastAsia" w:ascii="Times New Roman" w:hAnsi="Times New Roman" w:eastAsia="宋体"/>
          <w:lang w:val="en-US" w:eastAsia="zh-CN"/>
        </w:rPr>
        <w:t>变送器，</w:t>
      </w:r>
      <w:r>
        <w:rPr>
          <w:rFonts w:hint="eastAsia"/>
          <w:lang w:val="en-US" w:eastAsia="zh-CN"/>
        </w:rPr>
        <w:t>0</w:t>
      </w:r>
      <w:r>
        <w:rPr>
          <w:rFonts w:hint="eastAsia" w:ascii="Times New Roman" w:hAnsi="Times New Roman" w:eastAsia="宋体"/>
          <w:lang w:val="en-US" w:eastAsia="zh-CN"/>
        </w:rPr>
        <w:t>~</w:t>
      </w:r>
      <w:r>
        <w:rPr>
          <w:rFonts w:hint="eastAsia"/>
          <w:lang w:val="en-US" w:eastAsia="zh-CN"/>
        </w:rPr>
        <w:t>10mg/L</w:t>
      </w:r>
      <w:r>
        <w:rPr>
          <w:rFonts w:hint="eastAsia" w:ascii="Times New Roman" w:hAnsi="Times New Roman" w:eastAsia="宋体"/>
          <w:lang w:val="en-US" w:eastAsia="zh-CN"/>
        </w:rPr>
        <w:t>检测范围，电池供电</w:t>
      </w:r>
    </w:p>
    <w:p w14:paraId="09221F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  <w:sectPr>
          <w:headerReference r:id="rId32" w:type="default"/>
          <w:headerReference r:id="rId3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D7E70FA">
      <w:pPr>
        <w:rPr>
          <w:rFonts w:hint="default"/>
        </w:rPr>
      </w:pPr>
    </w:p>
    <w:p w14:paraId="010E4E6B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3804285</wp:posOffset>
                </wp:positionV>
                <wp:extent cx="3060065" cy="76200"/>
                <wp:effectExtent l="0" t="11430" r="6985" b="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75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6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299.55pt;height:6pt;width:240.95pt;z-index:251673600;mso-width-relative:page;mso-height-relative:page;" coordorigin="18,18" coordsize="6590,20" o:gfxdata="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L15g0TYAAAACAEAAA8AAAAAAAAAAQAgAAAAIgAAAGRycy9kb3ducmV2LnhtbFBLAQIUABQAAAAI&#10;AIdO4kDqUyNI0QIAAGMIAAAOAAAAAAAAAAEAIAAAACcBAABkcnMvZTJvRG9jLnhtbFBLBQYAAAAA&#10;BgAGAFkBAABqBgAAAAA=&#10;">
                <o:lock v:ext="edit" aspectratio="f"/>
                <v:shape id="任意多边形 1" o:spid="_x0000_s1026" o:spt="100" style="position:absolute;left:24;top:18;height:20;width:6578;" filled="f" stroked="t" coordsize="6578,20" o:gfxdata="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2vtuvQAA&#10;ANsAAAAPAAAAAAAAAAEAIAAAACIAAABkcnMvZG93bnJldi54bWxQSwECFAAUAAAACACHTuJAMy8F&#10;njsAAAA5AAAAEAAAAAAAAAABACAAAAAMAQAAZHJzL3NoYXBleG1sLnhtbFBLBQYAAAAABgAGAFsB&#10;AAC2AwAAAAA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任意多边形 2" o:spid="_x0000_s1026" o:spt="100" style="position:absolute;left:18;top:18;height:20;width:6590;" filled="f" stroked="t" coordsize="6590,20" o:gfxdata="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P/yq8AAAA&#10;2wAAAA8AAAAAAAAAAQAgAAAAIgAAAGRycy9kb3ducmV2LnhtbFBLAQIUABQAAAAIAIdO4kAzLwWe&#10;OwAAADkAAAAQAAAAAAAAAAEAIAAAAAsBAABkcnMvc2hhcGV4bWwueG1sUEsFBgAAAAAGAAYAWwEA&#10;ALUDAAAAAA=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3847465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B3469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.1pt;margin-top:302.95pt;height:17.4pt;width:238.25pt;z-index:251660288;mso-width-relative:page;mso-height-relative:page;" fillcolor="#FFFFFF" filled="t" stroked="f" coordsize="21600,21600" o:gfxdata="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uKDIzN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32B3469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3460115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2966085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62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3417570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B4A7A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3BF1C84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99.05pt;margin-top:269.1pt;height:24.85pt;width:138.4pt;z-index:251666432;mso-width-relative:page;mso-height-relative:page;" fillcolor="#FFFFFF" filled="t" stroked="f" coordsize="21600,21600" o:gfxdata="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UPZLjZAAAACwEAAA8AAAAAAAAAAQAg&#10;AAAAIgAAAGRycy9kb3ducmV2LnhtbFBLAQIUABQAAAAIAIdO4kBlRY9c1AEAAKMDAAAOAAAAAAAA&#10;AAEAIAAAACg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0EB4A7A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3BF1C84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4" w:type="default"/>
      <w:footerReference r:id="rId36" w:type="default"/>
      <w:headerReference r:id="rId35" w:type="even"/>
      <w:footerReference r:id="rId37" w:type="even"/>
      <w:pgSz w:w="5952" w:h="8390"/>
      <w:pgMar w:top="850" w:right="567" w:bottom="850" w:left="56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entury Gothic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经典黑体简">
    <w:altName w:val="汉仪中黑KW"/>
    <w:panose1 w:val="00000000000000000000"/>
    <w:charset w:val="86"/>
    <w:family w:val="modern"/>
    <w:pitch w:val="default"/>
    <w:sig w:usb0="00000000" w:usb1="00000000" w:usb2="0000001E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577FB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7EDAF">
    <w:pPr>
      <w:pStyle w:val="8"/>
      <w:ind w:left="0" w:leftChars="0" w:firstLine="0" w:firstLineChars="0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C651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5C19E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5C19E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C7FBB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CD78CE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CD78CE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123273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123273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BF67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41C7F7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41C7F7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BDC66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01551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01551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E871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15D07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15D07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09D56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5D41F6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5D41F6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2560D">
    <w:pPr>
      <w:pStyle w:val="8"/>
    </w:pPr>
    <w:r>
      <w:rPr>
        <w:sz w:val="3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4A85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0J0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0J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C4A85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3060065" cy="76200"/>
              <wp:effectExtent l="0" t="11430" r="6985" b="0"/>
              <wp:wrapNone/>
              <wp:docPr id="28" name="组合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9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6.5pt;height:6pt;width:240.95pt;z-index:251661312;mso-width-relative:page;mso-height-relative:page;" coordorigin="18,18" coordsize="6590,20" o:gfxdata="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Nar1obXAAAABgEAAA8AAAAAAAAAAQAgAAAAIgAAAGRycy9kb3ducmV2LnhtbFBLAQIUABQAAAAI&#10;AIdO4kDh3O2d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OiTedr0AAADb&#10;AAAADwAAAGRycy9kb3ducmV2LnhtbEWPT4vCMBTE78J+h/CEvWnaHla3Gj24yK4giK4g3h7Nsy02&#10;LzWJ/769EQSPw8z8hhlPb6YRF3K+tqwg7ScgiAuray4VbP/nvSEIH5A1NpZJwZ08TCcfnTHm2l55&#10;TZdNKEWEsM9RQRVCm0vpi4oM+r5tiaN3sM5giNKVUju8RrhpZJYkX9JgzXGhwpZmFRXHzdkoWPwc&#10;3HE5dOn+5Mr1+bc1g90qU+qzmyYjEIFu4R1+tf+0guwbnl/i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JN52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hgB7Bb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ev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ewW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8B261">
    <w:pPr>
      <w:pStyle w:val="8"/>
      <w:spacing w:after="72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2D760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DE48F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B3799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D85E0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33A58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A318E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3322A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00C58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B03EC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40E93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2460F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2DF13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05599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12F48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859C8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F51EA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337E2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09595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FA4C0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0427E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8B140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95798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70B80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5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AE8ADB1C"/>
    <w:multiLevelType w:val="singleLevel"/>
    <w:tmpl w:val="AE8ADB1C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3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4">
    <w:nsid w:val="C1355C66"/>
    <w:multiLevelType w:val="singleLevel"/>
    <w:tmpl w:val="C1355C66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6">
    <w:nsid w:val="0DA1AF35"/>
    <w:multiLevelType w:val="singleLevel"/>
    <w:tmpl w:val="0DA1AF3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8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9">
    <w:nsid w:val="47BB9875"/>
    <w:multiLevelType w:val="singleLevel"/>
    <w:tmpl w:val="47BB9875"/>
    <w:lvl w:ilvl="0" w:tentative="0">
      <w:start w:val="1"/>
      <w:numFmt w:val="decimal"/>
      <w:pStyle w:val="26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10">
    <w:nsid w:val="529F1534"/>
    <w:multiLevelType w:val="singleLevel"/>
    <w:tmpl w:val="529F153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65A96007"/>
    <w:multiLevelType w:val="singleLevel"/>
    <w:tmpl w:val="65A960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7478FCA4"/>
    <w:multiLevelType w:val="singleLevel"/>
    <w:tmpl w:val="7478FCA4"/>
    <w:lvl w:ilvl="0" w:tentative="0">
      <w:start w:val="1"/>
      <w:numFmt w:val="decimal"/>
      <w:pStyle w:val="20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0"/>
  </w:num>
  <w:num w:numId="5">
    <w:abstractNumId w:val="9"/>
  </w:num>
  <w:num w:numId="6">
    <w:abstractNumId w:val="2"/>
  </w:num>
  <w:num w:numId="7">
    <w:abstractNumId w:val="5"/>
  </w:num>
  <w:num w:numId="8">
    <w:abstractNumId w:val="7"/>
  </w:num>
  <w:num w:numId="9">
    <w:abstractNumId w:val="4"/>
  </w:num>
  <w:num w:numId="10">
    <w:abstractNumId w:val="1"/>
  </w:num>
  <w:num w:numId="11">
    <w:abstractNumId w:val="10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16D1607"/>
    <w:rsid w:val="03630182"/>
    <w:rsid w:val="03870C59"/>
    <w:rsid w:val="05812B41"/>
    <w:rsid w:val="063C2A27"/>
    <w:rsid w:val="069E423A"/>
    <w:rsid w:val="072F4F4B"/>
    <w:rsid w:val="08437A19"/>
    <w:rsid w:val="0B734C98"/>
    <w:rsid w:val="0D9F77C7"/>
    <w:rsid w:val="0E0F1632"/>
    <w:rsid w:val="0E121D8E"/>
    <w:rsid w:val="0E751CC7"/>
    <w:rsid w:val="0E8E7BE4"/>
    <w:rsid w:val="0EBD5EF0"/>
    <w:rsid w:val="0F0F3205"/>
    <w:rsid w:val="0F430E61"/>
    <w:rsid w:val="0F7B1F2F"/>
    <w:rsid w:val="101A7019"/>
    <w:rsid w:val="10822D43"/>
    <w:rsid w:val="1174359A"/>
    <w:rsid w:val="11EA5DC8"/>
    <w:rsid w:val="12BC340B"/>
    <w:rsid w:val="139126DA"/>
    <w:rsid w:val="13F422A1"/>
    <w:rsid w:val="14A86F74"/>
    <w:rsid w:val="158A3C94"/>
    <w:rsid w:val="1B99078D"/>
    <w:rsid w:val="1C912B6A"/>
    <w:rsid w:val="1D161002"/>
    <w:rsid w:val="1E285DF8"/>
    <w:rsid w:val="1FB91598"/>
    <w:rsid w:val="1FD426AE"/>
    <w:rsid w:val="203B5995"/>
    <w:rsid w:val="222B1769"/>
    <w:rsid w:val="22B468A5"/>
    <w:rsid w:val="25380D99"/>
    <w:rsid w:val="25753EE9"/>
    <w:rsid w:val="28F72F97"/>
    <w:rsid w:val="299E171E"/>
    <w:rsid w:val="2A126149"/>
    <w:rsid w:val="2A6C2BED"/>
    <w:rsid w:val="2C33629D"/>
    <w:rsid w:val="2FE3EA08"/>
    <w:rsid w:val="306D74E0"/>
    <w:rsid w:val="30BD34B2"/>
    <w:rsid w:val="31483202"/>
    <w:rsid w:val="31C64BB0"/>
    <w:rsid w:val="32140715"/>
    <w:rsid w:val="324441C8"/>
    <w:rsid w:val="32AC70A5"/>
    <w:rsid w:val="32BC7672"/>
    <w:rsid w:val="32BD006E"/>
    <w:rsid w:val="35C47CDD"/>
    <w:rsid w:val="36406F2D"/>
    <w:rsid w:val="37197C52"/>
    <w:rsid w:val="377C2217"/>
    <w:rsid w:val="39C3314D"/>
    <w:rsid w:val="39EB140E"/>
    <w:rsid w:val="3CDE7541"/>
    <w:rsid w:val="3D7F382F"/>
    <w:rsid w:val="3E251EC1"/>
    <w:rsid w:val="3F562328"/>
    <w:rsid w:val="3FCC4001"/>
    <w:rsid w:val="406D219C"/>
    <w:rsid w:val="427D1B8C"/>
    <w:rsid w:val="42B25939"/>
    <w:rsid w:val="43257C09"/>
    <w:rsid w:val="4337057B"/>
    <w:rsid w:val="433E7700"/>
    <w:rsid w:val="44413D3A"/>
    <w:rsid w:val="47CD163B"/>
    <w:rsid w:val="4823593C"/>
    <w:rsid w:val="482D0EBE"/>
    <w:rsid w:val="48320D42"/>
    <w:rsid w:val="48A779B6"/>
    <w:rsid w:val="48FD47D9"/>
    <w:rsid w:val="49660E46"/>
    <w:rsid w:val="499626E6"/>
    <w:rsid w:val="49D842AC"/>
    <w:rsid w:val="4AD94B37"/>
    <w:rsid w:val="4B570322"/>
    <w:rsid w:val="4C7A0C69"/>
    <w:rsid w:val="4CAB5114"/>
    <w:rsid w:val="4FD60865"/>
    <w:rsid w:val="50735531"/>
    <w:rsid w:val="50966CC4"/>
    <w:rsid w:val="53E27924"/>
    <w:rsid w:val="53F71FB7"/>
    <w:rsid w:val="54DC7CC1"/>
    <w:rsid w:val="55BE344A"/>
    <w:rsid w:val="5922193C"/>
    <w:rsid w:val="59AA5F42"/>
    <w:rsid w:val="5A124F02"/>
    <w:rsid w:val="5E304F6C"/>
    <w:rsid w:val="5E641A3D"/>
    <w:rsid w:val="5E8B2479"/>
    <w:rsid w:val="5F555D83"/>
    <w:rsid w:val="5FD3241A"/>
    <w:rsid w:val="5FDA100E"/>
    <w:rsid w:val="602A65AB"/>
    <w:rsid w:val="604711A9"/>
    <w:rsid w:val="619012B7"/>
    <w:rsid w:val="63A177AC"/>
    <w:rsid w:val="671F29FF"/>
    <w:rsid w:val="68C42938"/>
    <w:rsid w:val="69B96DDD"/>
    <w:rsid w:val="6A2E60C6"/>
    <w:rsid w:val="6B2F5EBA"/>
    <w:rsid w:val="6BDE2736"/>
    <w:rsid w:val="6C6F4534"/>
    <w:rsid w:val="6E664271"/>
    <w:rsid w:val="6F386377"/>
    <w:rsid w:val="72507809"/>
    <w:rsid w:val="72BD7A32"/>
    <w:rsid w:val="734B7749"/>
    <w:rsid w:val="74CA1714"/>
    <w:rsid w:val="75696AA7"/>
    <w:rsid w:val="7A55FFEC"/>
    <w:rsid w:val="7A5C270A"/>
    <w:rsid w:val="7BFFD68A"/>
    <w:rsid w:val="7E522F38"/>
    <w:rsid w:val="7E6DC912"/>
    <w:rsid w:val="7ED33AE6"/>
    <w:rsid w:val="FF3C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7">
    <w:name w:val="Strong"/>
    <w:basedOn w:val="16"/>
    <w:autoRedefine/>
    <w:qFormat/>
    <w:uiPriority w:val="0"/>
    <w:rPr>
      <w:b/>
    </w:rPr>
  </w:style>
  <w:style w:type="character" w:styleId="18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9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20">
    <w:name w:val="A5 表的序号"/>
    <w:basedOn w:val="1"/>
    <w:link w:val="21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1">
    <w:name w:val="样式4 Char"/>
    <w:link w:val="20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2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3">
    <w:name w:val="zhengwen"/>
    <w:basedOn w:val="24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4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5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6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7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5" Type="http://schemas.openxmlformats.org/officeDocument/2006/relationships/fontTable" Target="fontTable.xml"/><Relationship Id="rId64" Type="http://schemas.openxmlformats.org/officeDocument/2006/relationships/numbering" Target="numbering.xml"/><Relationship Id="rId63" Type="http://schemas.openxmlformats.org/officeDocument/2006/relationships/customXml" Target="../customXml/item1.xml"/><Relationship Id="rId62" Type="http://schemas.openxmlformats.org/officeDocument/2006/relationships/image" Target="media/image24.jpeg"/><Relationship Id="rId61" Type="http://schemas.openxmlformats.org/officeDocument/2006/relationships/image" Target="media/image23.png"/><Relationship Id="rId60" Type="http://schemas.openxmlformats.org/officeDocument/2006/relationships/image" Target="media/image22.png"/><Relationship Id="rId6" Type="http://schemas.openxmlformats.org/officeDocument/2006/relationships/footer" Target="footer2.xml"/><Relationship Id="rId59" Type="http://schemas.openxmlformats.org/officeDocument/2006/relationships/image" Target="media/image21.png"/><Relationship Id="rId58" Type="http://schemas.openxmlformats.org/officeDocument/2006/relationships/image" Target="media/image20.png"/><Relationship Id="rId57" Type="http://schemas.openxmlformats.org/officeDocument/2006/relationships/image" Target="media/image19.png"/><Relationship Id="rId56" Type="http://schemas.openxmlformats.org/officeDocument/2006/relationships/image" Target="media/image18.png"/><Relationship Id="rId55" Type="http://schemas.openxmlformats.org/officeDocument/2006/relationships/image" Target="media/image17.png"/><Relationship Id="rId54" Type="http://schemas.openxmlformats.org/officeDocument/2006/relationships/image" Target="media/image16.png"/><Relationship Id="rId53" Type="http://schemas.openxmlformats.org/officeDocument/2006/relationships/image" Target="media/image15.png"/><Relationship Id="rId52" Type="http://schemas.openxmlformats.org/officeDocument/2006/relationships/image" Target="media/image14.png"/><Relationship Id="rId51" Type="http://schemas.openxmlformats.org/officeDocument/2006/relationships/image" Target="media/image13.png"/><Relationship Id="rId50" Type="http://schemas.openxmlformats.org/officeDocument/2006/relationships/image" Target="media/image12.png"/><Relationship Id="rId5" Type="http://schemas.openxmlformats.org/officeDocument/2006/relationships/footer" Target="footer1.xml"/><Relationship Id="rId49" Type="http://schemas.openxmlformats.org/officeDocument/2006/relationships/image" Target="media/image11.png"/><Relationship Id="rId48" Type="http://schemas.openxmlformats.org/officeDocument/2006/relationships/image" Target="media/image10.png"/><Relationship Id="rId47" Type="http://schemas.openxmlformats.org/officeDocument/2006/relationships/image" Target="media/image9.png"/><Relationship Id="rId46" Type="http://schemas.openxmlformats.org/officeDocument/2006/relationships/image" Target="media/image8.png"/><Relationship Id="rId45" Type="http://schemas.openxmlformats.org/officeDocument/2006/relationships/image" Target="media/image7.png"/><Relationship Id="rId44" Type="http://schemas.openxmlformats.org/officeDocument/2006/relationships/image" Target="media/image6.png"/><Relationship Id="rId43" Type="http://schemas.openxmlformats.org/officeDocument/2006/relationships/image" Target="media/image5.png"/><Relationship Id="rId42" Type="http://schemas.openxmlformats.org/officeDocument/2006/relationships/image" Target="media/image4.png"/><Relationship Id="rId41" Type="http://schemas.openxmlformats.org/officeDocument/2006/relationships/image" Target="media/image3.png"/><Relationship Id="rId40" Type="http://schemas.openxmlformats.org/officeDocument/2006/relationships/image" Target="media/image2.png"/><Relationship Id="rId4" Type="http://schemas.openxmlformats.org/officeDocument/2006/relationships/endnotes" Target="endnotes.xml"/><Relationship Id="rId39" Type="http://schemas.openxmlformats.org/officeDocument/2006/relationships/image" Target="media/image1.png"/><Relationship Id="rId38" Type="http://schemas.openxmlformats.org/officeDocument/2006/relationships/theme" Target="theme/theme1.xml"/><Relationship Id="rId37" Type="http://schemas.openxmlformats.org/officeDocument/2006/relationships/footer" Target="footer10.xml"/><Relationship Id="rId36" Type="http://schemas.openxmlformats.org/officeDocument/2006/relationships/footer" Target="footer9.xml"/><Relationship Id="rId35" Type="http://schemas.openxmlformats.org/officeDocument/2006/relationships/header" Target="header23.xml"/><Relationship Id="rId34" Type="http://schemas.openxmlformats.org/officeDocument/2006/relationships/header" Target="header22.xml"/><Relationship Id="rId33" Type="http://schemas.openxmlformats.org/officeDocument/2006/relationships/header" Target="header21.xml"/><Relationship Id="rId32" Type="http://schemas.openxmlformats.org/officeDocument/2006/relationships/header" Target="header20.xml"/><Relationship Id="rId31" Type="http://schemas.openxmlformats.org/officeDocument/2006/relationships/header" Target="header19.xml"/><Relationship Id="rId30" Type="http://schemas.openxmlformats.org/officeDocument/2006/relationships/header" Target="header18.xml"/><Relationship Id="rId3" Type="http://schemas.openxmlformats.org/officeDocument/2006/relationships/footnotes" Target="footnotes.xml"/><Relationship Id="rId29" Type="http://schemas.openxmlformats.org/officeDocument/2006/relationships/header" Target="header17.xml"/><Relationship Id="rId28" Type="http://schemas.openxmlformats.org/officeDocument/2006/relationships/header" Target="header16.xml"/><Relationship Id="rId27" Type="http://schemas.openxmlformats.org/officeDocument/2006/relationships/header" Target="header15.xml"/><Relationship Id="rId26" Type="http://schemas.openxmlformats.org/officeDocument/2006/relationships/header" Target="header14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footer" Target="footer7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header" Target="header4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31</Pages>
  <Words>2482</Words>
  <Characters>2971</Characters>
  <Lines>1</Lines>
  <Paragraphs>1</Paragraphs>
  <TotalTime>0</TotalTime>
  <ScaleCrop>false</ScaleCrop>
  <LinksUpToDate>false</LinksUpToDate>
  <CharactersWithSpaces>3050</CharactersWithSpaces>
  <Application>WPS Office WWO_feishu_20241028185521-3ecd29d096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2024-01-17T15:10:00Z</dcterms:created>
  <dc:creator>JGX</dc:creator>
  <cp:lastModifiedBy>WPS_1642035961</cp:lastModifiedBy>
  <dcterms:modified xsi:type="dcterms:W3CDTF">2026-02-28T14:44:19Z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F30280F86F639B39C38EA2690E4456DD_43</vt:lpwstr>
  </property>
  <property fmtid="{D5CDD505-2E9C-101B-9397-08002B2CF9AE}" pid="4" name="KSOTemplateDocerSaveRecord">
    <vt:lpwstr>eyJoZGlkIjoiNmFkMWY3MGZiNjRiOTljMWJiYjZiZDYxYWFmNzU2M2MiLCJ1c2VySWQiOiIxMzExODc1MDYwIn0=</vt:lpwstr>
  </property>
</Properties>
</file>