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79082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eastAsia" w:ascii="ËÎÌå" w:hAnsi="ËÎÌå" w:cs="ËÎÌå"/>
              <w:kern w:val="0"/>
              <w:sz w:val="21"/>
              <w:szCs w:val="21"/>
              <w:u w:val="single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eastAsia" w:ascii="ËÎÌå" w:hAnsi="ËÎÌå" w:cs="ËÎÌå"/>
              <w:kern w:val="0"/>
              <w:sz w:val="21"/>
              <w:szCs w:val="21"/>
              <w:u w:val="single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eastAsia" w:ascii="ËÎÌå" w:hAnsi="ËÎÌå" w:cs="ËÎÌå"/>
              <w:kern w:val="0"/>
              <w:sz w:val="21"/>
              <w:szCs w:val="21"/>
              <w:u w:val="single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eastAsia" w:ascii="ËÎÌå" w:hAnsi="ËÎÌå" w:cs="ËÎÌå"/>
              <w:kern w:val="0"/>
              <w:sz w:val="21"/>
              <w:szCs w:val="21"/>
              <w:u w:val="single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eastAsia" w:ascii="ËÎÌå" w:hAnsi="ËÎÌå" w:cs="ËÎÌå"/>
              <w:kern w:val="0"/>
              <w:sz w:val="21"/>
              <w:szCs w:val="21"/>
              <w:u w:val="single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微软雅黑" w:hAnsi="微软雅黑" w:eastAsia="微软雅黑" w:cs="微软雅黑"/>
              <w:kern w:val="0"/>
              <w:sz w:val="15"/>
              <w:szCs w:val="15"/>
              <w:u w:val="none"/>
            </w:rPr>
          </w:pPr>
          <w:r>
            <w:rPr>
              <w:rFonts w:ascii="宋体" w:hAnsi="宋体" w:eastAsia="宋体" w:cs="宋体"/>
              <w:sz w:val="24"/>
              <w:szCs w:val="24"/>
            </w:rPr>
            <w:drawing>
              <wp:inline distT="0" distB="0" distL="114300" distR="114300">
                <wp:extent cx="3448050" cy="1183005"/>
                <wp:effectExtent l="0" t="0" r="0" b="17145"/>
                <wp:docPr id="2" name="图片 2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IMG_256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0" cy="118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eastAsia" w:ascii="ËÎÌå" w:hAnsi="ËÎÌå" w:cs="ËÎÌå"/>
              <w:kern w:val="0"/>
              <w:sz w:val="21"/>
              <w:szCs w:val="21"/>
              <w:u w:val="single"/>
            </w:rPr>
          </w:pPr>
        </w:p>
        <w:p>
          <w:pPr>
            <w:bidi w:val="0"/>
            <w:jc w:val="center"/>
            <w:rPr>
              <w:rFonts w:hint="eastAsia" w:ascii="微软雅黑" w:hAnsi="微软雅黑" w:eastAsia="微软雅黑" w:cs="微软雅黑"/>
              <w:sz w:val="72"/>
              <w:szCs w:val="72"/>
              <w:lang w:val="en-US" w:eastAsia="zh-CN"/>
            </w:rPr>
          </w:pPr>
          <w:bookmarkStart w:id="0" w:name="_Toc32459"/>
          <w:r>
            <w:rPr>
              <w:rFonts w:hint="eastAsia" w:ascii="微软雅黑" w:hAnsi="微软雅黑" w:eastAsia="微软雅黑" w:cs="微软雅黑"/>
              <w:sz w:val="72"/>
              <w:szCs w:val="72"/>
            </w:rPr>
            <w:t>WE-UB1MC0</w:t>
          </w:r>
          <w:r>
            <w:rPr>
              <w:rFonts w:hint="eastAsia" w:ascii="微软雅黑" w:hAnsi="微软雅黑" w:eastAsia="微软雅黑" w:cs="微软雅黑"/>
              <w:sz w:val="72"/>
              <w:szCs w:val="72"/>
              <w:lang w:val="en-US" w:eastAsia="zh-CN"/>
            </w:rPr>
            <w:t>2</w:t>
          </w:r>
          <w:r>
            <w:rPr>
              <w:rFonts w:hint="eastAsia" w:ascii="微软雅黑" w:hAnsi="微软雅黑" w:eastAsia="微软雅黑" w:cs="微软雅黑"/>
              <w:sz w:val="72"/>
              <w:szCs w:val="72"/>
            </w:rPr>
            <w:t>-01</w:t>
          </w:r>
        </w:p>
        <w:p>
          <w:pPr>
            <w:bidi w:val="0"/>
            <w:jc w:val="center"/>
            <w:rPr>
              <w:rFonts w:hint="eastAsia" w:ascii="微软雅黑" w:hAnsi="微软雅黑" w:eastAsia="微软雅黑" w:cs="微软雅黑"/>
              <w:sz w:val="36"/>
              <w:szCs w:val="36"/>
              <w:lang w:val="en-US" w:eastAsia="zh-CN"/>
            </w:rPr>
          </w:pPr>
          <w:r>
            <w:rPr>
              <w:rFonts w:hint="eastAsia" w:ascii="微软雅黑" w:hAnsi="微软雅黑" w:eastAsia="微软雅黑" w:cs="微软雅黑"/>
              <w:sz w:val="36"/>
              <w:szCs w:val="36"/>
              <w:lang w:val="en-US" w:eastAsia="zh-CN"/>
            </w:rPr>
            <w:t>UWB模块用户手册</w:t>
          </w:r>
          <w:bookmarkEnd w:id="0"/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default" w:ascii="ËÎÌå" w:hAnsi="ËÎÌå" w:cs="ËÎÌå"/>
              <w:kern w:val="0"/>
              <w:sz w:val="21"/>
              <w:szCs w:val="21"/>
              <w:u w:val="single"/>
              <w:lang w:val="en-US" w:eastAsia="zh-CN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 w:cs="宋体"/>
              <w:color w:val="2E75B6" w:themeColor="accent1" w:themeShade="BF"/>
              <w:sz w:val="36"/>
              <w:szCs w:val="36"/>
            </w:rPr>
          </w:pPr>
          <w:r>
            <w:rPr>
              <w:rFonts w:hint="eastAsia" w:ascii="宋体" w:hAnsi="宋体" w:cs="宋体"/>
              <w:color w:val="2E75B6" w:themeColor="accent1" w:themeShade="BF"/>
              <w:sz w:val="36"/>
              <w:szCs w:val="36"/>
              <w:lang w:val="en-US" w:eastAsia="zh-CN"/>
            </w:rPr>
            <w:t>完全</w:t>
          </w:r>
          <w:r>
            <w:rPr>
              <w:rFonts w:ascii="宋体" w:hAnsi="宋体" w:eastAsia="宋体" w:cs="宋体"/>
              <w:color w:val="2E75B6" w:themeColor="accent1" w:themeShade="BF"/>
              <w:sz w:val="36"/>
              <w:szCs w:val="36"/>
            </w:rPr>
            <w:t>兼容DWM1000封装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default" w:ascii="宋体" w:hAnsi="宋体" w:eastAsia="宋体" w:cs="宋体"/>
              <w:color w:val="auto"/>
              <w:sz w:val="36"/>
              <w:szCs w:val="36"/>
              <w:lang w:val="en-US" w:eastAsia="zh-CN"/>
            </w:rPr>
          </w:pPr>
          <w:r>
            <w:rPr>
              <w:rFonts w:hint="eastAsia" w:ascii="宋体" w:hAnsi="宋体" w:cs="宋体"/>
              <w:color w:val="auto"/>
              <w:sz w:val="36"/>
              <w:szCs w:val="36"/>
              <w:lang w:val="en-US" w:eastAsia="zh-CN"/>
            </w:rPr>
            <w:t>V1.0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right"/>
            <w:rPr>
              <w:rFonts w:hint="eastAsia" w:ascii="宋体" w:hAnsi="宋体" w:eastAsia="宋体" w:cs="宋体"/>
              <w:color w:val="0000FF"/>
              <w:sz w:val="36"/>
              <w:szCs w:val="36"/>
              <w:lang w:eastAsia="zh-CN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right"/>
            <w:rPr>
              <w:rFonts w:hint="eastAsia" w:ascii="宋体" w:hAnsi="宋体" w:eastAsia="宋体" w:cs="宋体"/>
              <w:color w:val="0000FF"/>
              <w:sz w:val="28"/>
              <w:szCs w:val="28"/>
              <w:lang w:eastAsia="zh-CN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eastAsia" w:ascii="ËÎÌå" w:hAnsi="ËÎÌå" w:cs="ËÎÌå"/>
              <w:kern w:val="0"/>
              <w:sz w:val="21"/>
              <w:szCs w:val="21"/>
              <w:u w:val="single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eastAsia" w:ascii="ËÎÌå" w:hAnsi="ËÎÌå" w:cs="ËÎÌå"/>
              <w:kern w:val="0"/>
              <w:sz w:val="21"/>
              <w:szCs w:val="21"/>
              <w:u w:val="single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eastAsia" w:ascii="ËÎÌå" w:hAnsi="ËÎÌå" w:cs="ËÎÌå"/>
              <w:kern w:val="0"/>
              <w:sz w:val="21"/>
              <w:szCs w:val="21"/>
              <w:u w:val="single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eastAsia" w:ascii="ËÎÌå" w:hAnsi="ËÎÌå" w:cs="ËÎÌå"/>
              <w:kern w:val="0"/>
              <w:sz w:val="21"/>
              <w:szCs w:val="21"/>
              <w:u w:val="single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hint="eastAsia" w:ascii="ËÎÌå" w:hAnsi="ËÎÌå" w:cs="ËÎÌå"/>
              <w:kern w:val="0"/>
              <w:sz w:val="21"/>
              <w:szCs w:val="21"/>
              <w:u w:val="single"/>
              <w:lang w:val="en-US" w:eastAsia="zh-CN"/>
            </w:rPr>
            <w:sectPr>
              <w:headerReference r:id="rId5" w:type="default"/>
              <w:pgSz w:w="11906" w:h="16838"/>
              <w:pgMar w:top="1440" w:right="1800" w:bottom="1440" w:left="1800" w:header="851" w:footer="992" w:gutter="0"/>
              <w:pgBorders>
                <w:top w:val="none" w:sz="0" w:space="0"/>
                <w:left w:val="none" w:sz="0" w:space="0"/>
                <w:bottom w:val="none" w:sz="0" w:space="0"/>
                <w:right w:val="none" w:sz="0" w:space="0"/>
              </w:pgBorders>
              <w:cols w:space="425" w:num="1"/>
              <w:docGrid w:type="lines" w:linePitch="312" w:charSpace="0"/>
            </w:sect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left"/>
            <w:rPr>
              <w:rFonts w:hint="eastAsia" w:ascii="微软雅黑" w:hAnsi="微软雅黑" w:eastAsia="微软雅黑" w:cs="微软雅黑"/>
              <w:color w:val="2E75B6" w:themeColor="accent1" w:themeShade="BF"/>
              <w:sz w:val="30"/>
              <w:szCs w:val="30"/>
            </w:rPr>
          </w:pPr>
          <w:r>
            <w:rPr>
              <w:rFonts w:hint="eastAsia" w:ascii="微软雅黑" w:hAnsi="微软雅黑" w:eastAsia="微软雅黑" w:cs="微软雅黑"/>
              <w:color w:val="2E75B6" w:themeColor="accent1" w:themeShade="BF"/>
              <w:sz w:val="30"/>
              <w:szCs w:val="30"/>
            </w:rPr>
            <w:t>目录</w:t>
          </w:r>
          <w:bookmarkStart w:id="24" w:name="_GoBack"/>
          <w:bookmarkEnd w:id="24"/>
        </w:p>
        <w:p>
          <w:pPr>
            <w:pStyle w:val="15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000000" w:themeColor="text1"/>
              <w:sz w:val="15"/>
              <w:szCs w:val="15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000000" w:themeColor="text1"/>
              <w:sz w:val="15"/>
              <w:szCs w:val="15"/>
              <w14:textFill>
                <w14:solidFill>
                  <w14:schemeClr w14:val="tx1"/>
                </w14:solidFill>
              </w14:textFill>
            </w:rPr>
            <w:instrText xml:space="preserve">TOC \o "1-3" \h \u </w:instrText>
          </w:r>
          <w:r>
            <w:rPr>
              <w:rFonts w:hint="eastAsia" w:ascii="微软雅黑" w:hAnsi="微软雅黑" w:eastAsia="微软雅黑" w:cs="微软雅黑"/>
              <w:color w:val="000000" w:themeColor="text1"/>
              <w:sz w:val="15"/>
              <w:szCs w:val="15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_Toc16989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lang w:val="en-US" w:eastAsia="zh-CN"/>
            </w:rPr>
            <w:t>一、 驱动UWB模块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_Toc16989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_Toc25330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lang w:val="en-US" w:eastAsia="zh-CN"/>
            </w:rPr>
            <w:t xml:space="preserve">（一） </w:t>
          </w:r>
          <w:r>
            <w:rPr>
              <w:rFonts w:hint="eastAsia" w:ascii="微软雅黑" w:hAnsi="微软雅黑" w:eastAsia="微软雅黑" w:cs="微软雅黑"/>
              <w:bCs/>
              <w:i w:val="0"/>
              <w:iCs w:val="0"/>
              <w:caps w:val="0"/>
              <w:color w:val="auto"/>
              <w:spacing w:val="0"/>
              <w:sz w:val="15"/>
              <w:szCs w:val="15"/>
              <w:shd w:val="clear" w:fill="FFFFFF"/>
            </w:rPr>
            <w:t>UWB</w:t>
          </w:r>
          <w:r>
            <w:rPr>
              <w:rFonts w:hint="eastAsia" w:ascii="微软雅黑" w:hAnsi="微软雅黑" w:eastAsia="微软雅黑" w:cs="微软雅黑"/>
              <w:bCs/>
              <w:i w:val="0"/>
              <w:iCs w:val="0"/>
              <w:caps w:val="0"/>
              <w:color w:val="auto"/>
              <w:spacing w:val="0"/>
              <w:sz w:val="15"/>
              <w:szCs w:val="15"/>
              <w:shd w:val="clear" w:fill="FFFFFF"/>
              <w:lang w:val="en-US" w:eastAsia="zh-CN"/>
            </w:rPr>
            <w:t>模块供电启动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_Toc25330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_Toc17475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lang w:val="en-US" w:eastAsia="zh-CN"/>
            </w:rPr>
            <w:t>（二） SPI主机接口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_Toc17475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2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_Toc20626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 xml:space="preserve">（三） 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lang w:val="en-US" w:eastAsia="zh-CN"/>
            </w:rPr>
            <w:t>引脚定义及复用功能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_Toc20626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6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_Toc28307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lang w:val="en-US" w:eastAsia="zh-CN"/>
            </w:rPr>
            <w:t>二、 电气特性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_Toc28307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10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_Toc4282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kern w:val="2"/>
              <w:sz w:val="15"/>
              <w:szCs w:val="15"/>
              <w:lang w:val="en-US" w:eastAsia="zh-CN" w:bidi="ar-SA"/>
            </w:rPr>
            <w:t xml:space="preserve">（一） 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lang w:val="en-US" w:eastAsia="zh-CN"/>
            </w:rPr>
            <w:t>额定工作条件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_Toc4282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10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_Toc9972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lang w:val="en-US" w:eastAsia="zh-CN"/>
            </w:rPr>
            <w:t>（二） 直流特性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_Toc9972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10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_Toc23204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（三） 接收交流特性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_Toc23204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11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_Toc22312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（四） 接收机灵敏度特性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_Toc22312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12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_Toc27348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lang w:val="en-US" w:eastAsia="zh-CN"/>
            </w:rPr>
            <w:t xml:space="preserve">（五） 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参考时钟交流特性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_Toc27348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12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_Toc25692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（六） 发射交流特性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_Toc25692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13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_Toc10635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lang w:val="en-US" w:eastAsia="zh-CN"/>
            </w:rPr>
            <w:t xml:space="preserve">（七） 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温度和电压检测特性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_Toc10635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13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_Toc5717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（八） 极限值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_Toc5717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14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_Toc26086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lang w:val="en-US" w:eastAsia="zh-CN"/>
            </w:rPr>
            <w:t>三、 封装特性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_Toc26086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14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_Toc5273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lang w:val="en-US" w:eastAsia="zh-CN"/>
            </w:rPr>
            <w:t>四、 WE-UB1MC02-01电路图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_Toc5273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15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_Toc21183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（一） WE-UB1MC02-01模块电路图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_Toc21183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15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_Toc4673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（二） WE-UB1MC02-01模块与单片机连接示例图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_Toc4673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16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_Toc7116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lang w:val="en-US" w:eastAsia="zh-CN"/>
            </w:rPr>
            <w:t>五、 应用场景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_Toc7116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17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_Toc17702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（一） UWB应用场景——电力巡检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_Toc17702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17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_Toc23703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（二） UWB应用场景——仓储物流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_Toc23703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17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_Toc27510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（三） UWB应用场景——历史轨迹查询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_Toc27510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17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_Toc20538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（四） UWB应用场景——一键紧急求助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_Toc20538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17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HYPERLINK \l _Toc31480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  <w:vertAlign w:val="baseline"/>
              <w:lang w:val="en-US" w:eastAsia="zh-CN"/>
            </w:rPr>
            <w:t>（五） UWB应用场景——智慧工地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ab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begin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instrText xml:space="preserve"> PAGEREF _Toc31480 \h </w:instrTex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t>17</w:t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  <w:r>
            <w:rPr>
              <w:rFonts w:hint="eastAsia" w:ascii="微软雅黑" w:hAnsi="微软雅黑" w:eastAsia="微软雅黑" w:cs="微软雅黑"/>
              <w:color w:val="auto"/>
              <w:sz w:val="15"/>
              <w:szCs w:val="15"/>
            </w:rPr>
            <w:fldChar w:fldCharType="end"/>
          </w:r>
        </w:p>
        <w:p>
          <w:pPr>
            <w:sectPr>
              <w:pgSz w:w="11906" w:h="16838"/>
              <w:pgMar w:top="1440" w:right="1800" w:bottom="1440" w:left="1800" w:header="851" w:footer="992" w:gutter="0"/>
              <w:pgBorders>
                <w:top w:val="none" w:sz="0" w:space="0"/>
                <w:left w:val="none" w:sz="0" w:space="0"/>
                <w:bottom w:val="none" w:sz="0" w:space="0"/>
                <w:right w:val="none" w:sz="0" w:space="0"/>
              </w:pgBorders>
              <w:cols w:space="425" w:num="1"/>
              <w:docGrid w:type="lines" w:linePitch="312" w:charSpace="0"/>
            </w:sectPr>
          </w:pPr>
          <w:r>
            <w:rPr>
              <w:rFonts w:hint="eastAsia" w:ascii="微软雅黑" w:hAnsi="微软雅黑" w:eastAsia="微软雅黑" w:cs="微软雅黑"/>
              <w:color w:val="000000" w:themeColor="text1"/>
              <w:szCs w:val="15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</w:sdtContent>
    </w:sdt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46430" cy="1124585"/>
            <wp:effectExtent l="0" t="0" r="0" b="0"/>
            <wp:wrapTight wrapText="bothSides">
              <wp:wrapPolygon>
                <wp:start x="0" y="0"/>
                <wp:lineTo x="0" y="21222"/>
                <wp:lineTo x="21006" y="21222"/>
                <wp:lineTo x="21006" y="0"/>
                <wp:lineTo x="0" y="0"/>
              </wp:wrapPolygon>
            </wp:wrapTight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WE-UB1MC02-01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2E75B6" w:themeColor="accent1" w:themeShade="B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21"/>
          <w:szCs w:val="21"/>
          <w:lang w:val="en-US" w:eastAsia="zh-CN"/>
        </w:rPr>
        <w:t>厘米级高精度、低功耗、高安全、低成本定位的UWB无线射频模块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15"/>
          <w:szCs w:val="15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WE-UB1MC02-01模块是海南世电基于Qorvo公司的DW1000芯片设计的无线射频模块，此模块集成了UWB通信所需的所有外围电路，如射频电路，电源管理以及时钟电路，无需额外电路，使用MCU连接引脚即可使用</w:t>
      </w:r>
      <w:r>
        <w:rPr>
          <w:rFonts w:hint="eastAsia" w:ascii="微软雅黑" w:hAnsi="微软雅黑" w:eastAsia="微软雅黑" w:cs="微软雅黑"/>
          <w:sz w:val="15"/>
          <w:szCs w:val="15"/>
        </w:rPr>
        <w:t>。符合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IEEE802.15.4-2011超宽带标准。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此模块集成了一颗38.4MHZ的高精度晶振，测量距离为厘米级精度。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sz w:val="15"/>
          <w:szCs w:val="15"/>
        </w:rPr>
        <w:t>在UWB模块中，可以通过单独的VDDAON来为AON存储器供电，从而保存在低功耗模式下的配置数据。可以通过设置使UWB模块上传数据到AON存储中当模块进入低功耗工作模式下的时候，而当模块恢复正常运行时，从AON存储中下载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UWB模块由一个56×32位的用户使用的一次性可编程存储器，该存储器用来存放每个芯片的校准信息。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DWM模块有多个中断事件，这些事件配置为驱动中断请求引脚。这些中断请求引脚默认为低电平。并且多个状态寄存器可以用来检测运行的状态。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微软雅黑" w:hAnsi="微软雅黑" w:eastAsia="微软雅黑" w:cs="微软雅黑"/>
          <w:sz w:val="15"/>
          <w:szCs w:val="15"/>
          <w:lang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模块包含了多个检测校验功能，包括CRC产生，CRC校验，和接收帧过滤</w:t>
      </w: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Style w:val="29"/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片上的电压和温度检测器可以被主设备所读取。主设备可以读取 VDDAON 引脚的电压和</w:t>
      </w:r>
      <w:r>
        <w:rPr>
          <w:rStyle w:val="28"/>
          <w:rFonts w:hint="eastAsia" w:ascii="微软雅黑" w:hAnsi="微软雅黑" w:eastAsia="微软雅黑" w:cs="微软雅黑"/>
          <w:sz w:val="15"/>
          <w:szCs w:val="15"/>
        </w:rPr>
        <w:t xml:space="preserve">UWB 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</w:rPr>
        <w:t>模块内部的核心温度信息。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Style w:val="29"/>
          <w:rFonts w:hint="eastAsia"/>
          <w:lang w:val="en-US" w:eastAsia="zh-CN"/>
        </w:rPr>
      </w:pP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更多详细信息请查阅DW1000的数据手册及用户手册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</w:pP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fldChar w:fldCharType="begin"/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instrText xml:space="preserve"> HYPERLINK "https://www.qorvo.com/products/p/DW1000" \l "documents" </w:instrTex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fldChar w:fldCharType="separate"/>
      </w:r>
      <w:r>
        <w:rPr>
          <w:rStyle w:val="22"/>
          <w:rFonts w:hint="eastAsia" w:ascii="微软雅黑" w:hAnsi="微软雅黑" w:eastAsia="微软雅黑" w:cs="微软雅黑"/>
          <w:b w:val="0"/>
          <w:bCs w:val="0"/>
          <w:i w:val="0"/>
          <w:iCs w:val="0"/>
          <w:color w:val="2E75B6" w:themeColor="accent1" w:themeShade="BF"/>
          <w:sz w:val="15"/>
          <w:szCs w:val="15"/>
          <w:lang w:val="en-US" w:eastAsia="zh-CN"/>
        </w:rPr>
        <w:t>https://www.qorvo.com/products/p/DW1000#documents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Style w:val="29"/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Style w:val="29"/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Style w:val="29"/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Style w:val="29"/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Style w:val="29"/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Style w:val="29"/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Style w:val="29"/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Style w:val="29"/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29"/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29"/>
          <w:rFonts w:hint="default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color w:val="2E75B6" w:themeColor="accent1" w:themeShade="BF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sz w:val="15"/>
          <w:szCs w:val="15"/>
          <w:lang w:val="en-US" w:eastAsia="zh-CN"/>
        </w:rPr>
        <w:t>主要特征</w:t>
      </w:r>
    </w:p>
    <w:p>
      <w:pP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➯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符合IEEE802.15.4-2011超宽带标准；</w:t>
      </w:r>
    </w:p>
    <w:p>
      <w:pP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➯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基于Qorvo公司DW1000芯片设计的超宽带测距定位模块；</w:t>
      </w:r>
    </w:p>
    <w:p>
      <w:pP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➯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封装及接口完全兼容DWM1000；</w:t>
      </w:r>
    </w:p>
    <w:p>
      <w:pP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➯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供电电压为2.8V - 3.6V；</w:t>
      </w:r>
    </w:p>
    <w:p>
      <w:pP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➯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WE-UB1MC02-01模块的数据传输110kbps,850kbps,6.8Mbps三种模式可选；</w:t>
      </w:r>
    </w:p>
    <w:p>
      <w:pP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➯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最大数据包长度为1023字节，满足高数据量通信的应用需求；</w:t>
      </w:r>
    </w:p>
    <w:p>
      <w:pP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➯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通信接口为SPI；</w:t>
      </w:r>
    </w:p>
    <w:p>
      <w:pPr>
        <w:rPr>
          <w:rFonts w:hint="default" w:ascii="宋体" w:hAnsi="宋体" w:cs="宋体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footerReference r:id="rId6" w:type="default"/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equalWidth="0" w:num="2">
            <w:col w:w="5040" w:space="425"/>
            <w:col w:w="2841"/>
          </w:cols>
          <w:docGrid w:type="lines" w:linePitch="312" w:charSpace="0"/>
        </w:sect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</w:pPr>
      <w:bookmarkStart w:id="1" w:name="_Toc16989"/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驱动UWB模块</w:t>
      </w:r>
      <w:bookmarkEnd w:id="1"/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</w:pPr>
      <w:bookmarkStart w:id="2" w:name="_Toc25330"/>
      <w:r>
        <w:rPr>
          <w:rStyle w:val="21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75B6" w:themeColor="accent1" w:themeShade="BF"/>
          <w:spacing w:val="0"/>
          <w:sz w:val="24"/>
          <w:szCs w:val="24"/>
          <w:shd w:val="clear" w:fill="FFFFFF"/>
        </w:rPr>
        <w:t>UWB</w:t>
      </w:r>
      <w:r>
        <w:rPr>
          <w:rStyle w:val="21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75B6" w:themeColor="accent1" w:themeShade="BF"/>
          <w:spacing w:val="0"/>
          <w:sz w:val="24"/>
          <w:szCs w:val="24"/>
          <w:shd w:val="clear" w:fill="FFFFFF"/>
          <w:lang w:val="en-US" w:eastAsia="zh-CN"/>
        </w:rPr>
        <w:t>模块供电启动</w:t>
      </w:r>
      <w:bookmarkEnd w:id="2"/>
    </w:p>
    <w:p>
      <w:pPr>
        <w:widowControl w:val="0"/>
        <w:numPr>
          <w:ilvl w:val="0"/>
          <w:numId w:val="0"/>
        </w:numPr>
        <w:spacing w:line="360" w:lineRule="auto"/>
        <w:jc w:val="both"/>
      </w:pPr>
      <w:r>
        <w:drawing>
          <wp:inline distT="0" distB="0" distL="114300" distR="114300">
            <wp:extent cx="4482465" cy="1950085"/>
            <wp:effectExtent l="0" t="0" r="13335" b="12065"/>
            <wp:docPr id="2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246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15"/>
          <w:szCs w:val="15"/>
          <w:lang w:val="en-US" w:eastAsia="zh-CN" w:bidi="ar-SA"/>
        </w:rPr>
        <w:t xml:space="preserve">图 </w:t>
      </w:r>
      <w:r>
        <w:rPr>
          <w:rFonts w:hint="eastAsia" w:ascii="微软雅黑" w:hAnsi="微软雅黑" w:eastAsia="微软雅黑" w:cs="微软雅黑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 w:val="15"/>
          <w:szCs w:val="15"/>
          <w:lang w:val="en-US" w:eastAsia="zh-CN" w:bidi="ar-SA"/>
        </w:rPr>
        <w:instrText xml:space="preserve"> SEQ 图 \* ARABIC </w:instrText>
      </w:r>
      <w:r>
        <w:rPr>
          <w:rFonts w:hint="eastAsia" w:ascii="微软雅黑" w:hAnsi="微软雅黑" w:eastAsia="微软雅黑" w:cs="微软雅黑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kern w:val="2"/>
          <w:sz w:val="15"/>
          <w:szCs w:val="15"/>
          <w:lang w:val="en-US" w:eastAsia="zh-CN" w:bidi="ar-SA"/>
        </w:rPr>
        <w:t>1</w:t>
      </w:r>
      <w:r>
        <w:rPr>
          <w:rFonts w:hint="eastAsia" w:ascii="微软雅黑" w:hAnsi="微软雅黑" w:eastAsia="微软雅黑" w:cs="微软雅黑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kern w:val="2"/>
          <w:sz w:val="15"/>
          <w:szCs w:val="15"/>
          <w:lang w:val="en-US" w:eastAsia="zh-CN" w:bidi="ar-SA"/>
        </w:rPr>
        <w:t>UWB模块上电时序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200"/>
        <w:jc w:val="both"/>
        <w:textAlignment w:val="auto"/>
        <w:rPr>
          <w:rFonts w:hint="eastAsia" w:ascii="微软雅黑" w:hAnsi="微软雅黑" w:eastAsia="微软雅黑" w:cs="微软雅黑"/>
          <w:sz w:val="15"/>
          <w:szCs w:val="15"/>
          <w:lang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模块启动时，当设备开始供电的时候，RST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_</w:t>
      </w:r>
      <w:r>
        <w:rPr>
          <w:rFonts w:hint="eastAsia" w:ascii="微软雅黑" w:hAnsi="微软雅黑" w:eastAsia="微软雅黑" w:cs="微软雅黑"/>
          <w:sz w:val="15"/>
          <w:szCs w:val="15"/>
        </w:rPr>
        <w:t>n被内部的集成电路拉到低电平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,如图所示，</w:t>
      </w:r>
      <w:r>
        <w:rPr>
          <w:rFonts w:hint="eastAsia" w:ascii="微软雅黑" w:hAnsi="微软雅黑" w:eastAsia="微软雅黑" w:cs="微软雅黑"/>
          <w:sz w:val="15"/>
          <w:szCs w:val="15"/>
        </w:rPr>
        <w:t>RST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_</w:t>
      </w:r>
      <w:r>
        <w:rPr>
          <w:rFonts w:hint="eastAsia" w:ascii="微软雅黑" w:hAnsi="微软雅黑" w:eastAsia="微软雅黑" w:cs="微软雅黑"/>
          <w:sz w:val="15"/>
          <w:szCs w:val="15"/>
        </w:rPr>
        <w:t>n会一直保持低电平，直到模块上的晶振启动，并且当晶振的输出可以被所以模块上的其他设备使用时，RST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_</w:t>
      </w:r>
      <w:r>
        <w:rPr>
          <w:rFonts w:hint="eastAsia" w:ascii="微软雅黑" w:hAnsi="微软雅黑" w:eastAsia="微软雅黑" w:cs="微软雅黑"/>
          <w:sz w:val="15"/>
          <w:szCs w:val="15"/>
        </w:rPr>
        <w:t>n转为高电平</w:t>
      </w: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pStyle w:val="11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1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：DW1000 供电时间</w:t>
      </w:r>
    </w:p>
    <w:tbl>
      <w:tblPr>
        <w:tblStyle w:val="19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704"/>
        <w:gridCol w:w="898"/>
        <w:gridCol w:w="89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709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FFFF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5704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FFFF"/>
                <w:sz w:val="24"/>
                <w:szCs w:val="24"/>
                <w:vertAlign w:val="baseline"/>
                <w:lang w:val="en-US" w:eastAsia="zh-CN"/>
              </w:rPr>
              <w:t>描述</w:t>
            </w:r>
          </w:p>
        </w:tc>
        <w:tc>
          <w:tcPr>
            <w:tcW w:w="898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FFFF"/>
                <w:sz w:val="24"/>
                <w:szCs w:val="24"/>
                <w:vertAlign w:val="baseline"/>
                <w:lang w:val="en-US" w:eastAsia="zh-CN"/>
              </w:rPr>
              <w:t>最小值</w:t>
            </w:r>
          </w:p>
        </w:tc>
        <w:tc>
          <w:tcPr>
            <w:tcW w:w="898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FFFF"/>
                <w:sz w:val="24"/>
                <w:szCs w:val="24"/>
                <w:vertAlign w:val="baseline"/>
                <w:lang w:val="en-US" w:eastAsia="zh-CN"/>
              </w:rPr>
              <w:t>正常值</w:t>
            </w:r>
          </w:p>
        </w:tc>
        <w:tc>
          <w:tcPr>
            <w:tcW w:w="708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FFFF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9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ON</w:t>
            </w:r>
          </w:p>
        </w:tc>
        <w:tc>
          <w:tcPr>
            <w:tcW w:w="570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启动的最小电压</w:t>
            </w:r>
          </w:p>
        </w:tc>
        <w:tc>
          <w:tcPr>
            <w:tcW w:w="89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70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EXT_ON</w:t>
            </w:r>
          </w:p>
        </w:tc>
        <w:tc>
          <w:tcPr>
            <w:tcW w:w="5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RST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n被拉到低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平到EXTON转为高电平的时间</w:t>
            </w:r>
          </w:p>
        </w:tc>
        <w:tc>
          <w:tcPr>
            <w:tcW w:w="89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9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7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70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sub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DIG_ON</w:t>
            </w:r>
          </w:p>
        </w:tc>
        <w:tc>
          <w:tcPr>
            <w:tcW w:w="5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通过内部或外部重置电路需维持RST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n为低电平的时间</w:t>
            </w:r>
          </w:p>
        </w:tc>
        <w:tc>
          <w:tcPr>
            <w:tcW w:w="89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9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7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200"/>
        <w:jc w:val="both"/>
        <w:textAlignment w:val="auto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当系统启动时，RST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_</w:t>
      </w:r>
      <w:r>
        <w:rPr>
          <w:rFonts w:hint="eastAsia" w:ascii="微软雅黑" w:hAnsi="微软雅黑" w:eastAsia="微软雅黑" w:cs="微软雅黑"/>
          <w:sz w:val="15"/>
          <w:szCs w:val="15"/>
        </w:rPr>
        <w:t>n可以被用来作为输出去重置外部电路。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200"/>
        <w:jc w:val="both"/>
        <w:textAlignment w:val="auto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模块上的一个外部的电路可以用最少10ns去重置该模块。RST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_</w:t>
      </w:r>
      <w:r>
        <w:rPr>
          <w:rFonts w:hint="eastAsia" w:ascii="微软雅黑" w:hAnsi="微软雅黑" w:eastAsia="微软雅黑" w:cs="微软雅黑"/>
          <w:sz w:val="15"/>
          <w:szCs w:val="15"/>
        </w:rPr>
        <w:t>n是一个异步输入。当该引脚被转为高电平时，DW1000开始初始化。注意RST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_</w:t>
      </w:r>
      <w:r>
        <w:rPr>
          <w:rFonts w:hint="eastAsia" w:ascii="微软雅黑" w:hAnsi="微软雅黑" w:eastAsia="微软雅黑" w:cs="微软雅黑"/>
          <w:sz w:val="15"/>
          <w:szCs w:val="15"/>
        </w:rPr>
        <w:t>n不可以被外部电路驱动。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关于UWB模块上电时序的更多详细信息请查阅 ）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DW1000 Datasheet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 xml:space="preserve">[5.6  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>Power-up sequence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 xml:space="preserve">] </w:t>
      </w:r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</w:pPr>
      <w:bookmarkStart w:id="3" w:name="_Toc17475"/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SPI主机接口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200"/>
        <w:jc w:val="both"/>
        <w:textAlignment w:val="auto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DW1000上的通讯接口为SPI，且DW1000只能为从机。DW1000支持SPI通讯的时钟极性和时钟相位。该通讯协议支持单个或者多个字节的读写操作。所有字节都是按高位(MSB)到低位(LSB)的顺序传输。当SPI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_</w:t>
      </w:r>
      <w:r>
        <w:rPr>
          <w:rFonts w:hint="eastAsia" w:ascii="微软雅黑" w:hAnsi="微软雅黑" w:eastAsia="微软雅黑" w:cs="微软雅黑"/>
          <w:sz w:val="15"/>
          <w:szCs w:val="15"/>
        </w:rPr>
        <w:t>CS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_</w:t>
      </w:r>
      <w:r>
        <w:rPr>
          <w:rFonts w:hint="eastAsia" w:ascii="微软雅黑" w:hAnsi="微软雅黑" w:eastAsia="微软雅黑" w:cs="微软雅黑"/>
          <w:sz w:val="15"/>
          <w:szCs w:val="15"/>
        </w:rPr>
        <w:t>n被设置为低电平时，开始传输数据，被设置为高电平时</w:t>
      </w: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t>，</w:t>
      </w:r>
      <w:r>
        <w:rPr>
          <w:rFonts w:hint="eastAsia" w:ascii="微软雅黑" w:hAnsi="微软雅黑" w:eastAsia="微软雅黑" w:cs="微软雅黑"/>
          <w:sz w:val="15"/>
          <w:szCs w:val="15"/>
        </w:rPr>
        <w:t>终止通讯。</w:t>
      </w:r>
    </w:p>
    <w:p>
      <w:pPr>
        <w:widowControl w:val="0"/>
        <w:numPr>
          <w:ilvl w:val="0"/>
          <w:numId w:val="0"/>
        </w:numPr>
        <w:spacing w:line="360" w:lineRule="auto"/>
        <w:jc w:val="both"/>
      </w:pPr>
      <w:r>
        <w:drawing>
          <wp:inline distT="0" distB="0" distL="114300" distR="114300">
            <wp:extent cx="5266690" cy="2221865"/>
            <wp:effectExtent l="0" t="0" r="10160" b="698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color w:val="2E75B6" w:themeColor="accent1" w:themeShade="BF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图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图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DW1000 SPI_PHA=0时传输协议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2190750"/>
            <wp:effectExtent l="0" t="0" r="8255" b="0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/>
          <w:color w:val="2E75B6" w:themeColor="accent1" w:themeShade="BF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图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图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3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DW1000 SPI_PHA=1时传输协议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055" cy="1340485"/>
            <wp:effectExtent l="0" t="0" r="10795" b="12065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图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图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4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DW1000 SPI时序图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172710" cy="2082165"/>
            <wp:effectExtent l="0" t="0" r="8890" b="13335"/>
            <wp:docPr id="2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图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图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5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DW1000 SPI详细时序图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表2/3:DW1000 SPI时序参数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@表2）DW1000模块125M的系统时钟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@表3）DW1000模块19.2M的系统时钟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UWB模块SPI参数@125MHz</w:t>
      </w:r>
    </w:p>
    <w:tbl>
      <w:tblPr>
        <w:tblStyle w:val="19"/>
        <w:tblpPr w:leftFromText="180" w:rightFromText="180" w:vertAnchor="text" w:horzAnchor="page" w:tblpXSpec="center" w:tblpY="387"/>
        <w:tblOverlap w:val="never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43"/>
        <w:gridCol w:w="711"/>
        <w:gridCol w:w="899"/>
        <w:gridCol w:w="671"/>
        <w:gridCol w:w="4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15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参数</w:t>
            </w:r>
          </w:p>
        </w:tc>
        <w:tc>
          <w:tcPr>
            <w:tcW w:w="743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最小值</w:t>
            </w:r>
          </w:p>
        </w:tc>
        <w:tc>
          <w:tcPr>
            <w:tcW w:w="71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典型值</w:t>
            </w:r>
          </w:p>
        </w:tc>
        <w:tc>
          <w:tcPr>
            <w:tcW w:w="899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最大值</w:t>
            </w:r>
          </w:p>
        </w:tc>
        <w:tc>
          <w:tcPr>
            <w:tcW w:w="67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单位</w:t>
            </w:r>
          </w:p>
        </w:tc>
        <w:tc>
          <w:tcPr>
            <w:tcW w:w="4636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描述@125MHz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1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SPI_CLK SPI周期</w:t>
            </w:r>
          </w:p>
        </w:tc>
        <w:tc>
          <w:tcPr>
            <w:tcW w:w="743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50</w:t>
            </w:r>
          </w:p>
        </w:tc>
        <w:tc>
          <w:tcPr>
            <w:tcW w:w="71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899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67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636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当CLKPLL被使能时，SPI的时钟频率为20MHZ，否则最大为3MHZ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t1</w:t>
            </w:r>
          </w:p>
        </w:tc>
        <w:tc>
          <w:tcPr>
            <w:tcW w:w="7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38</w:t>
            </w:r>
          </w:p>
        </w:tc>
        <w:tc>
          <w:tcPr>
            <w:tcW w:w="6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6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片选信号SPICSn被拉低到从机开始发送数据的时间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2</w:t>
            </w:r>
          </w:p>
        </w:tc>
        <w:tc>
          <w:tcPr>
            <w:tcW w:w="7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7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8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6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6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SPICLK被拉低到从机开始发送数据的时间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3</w:t>
            </w:r>
          </w:p>
        </w:tc>
        <w:tc>
          <w:tcPr>
            <w:tcW w:w="7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7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8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6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6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主机数据设置时间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4</w:t>
            </w:r>
          </w:p>
        </w:tc>
        <w:tc>
          <w:tcPr>
            <w:tcW w:w="7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7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8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6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6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主机数据保持时间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5</w:t>
            </w:r>
          </w:p>
        </w:tc>
        <w:tc>
          <w:tcPr>
            <w:tcW w:w="7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32</w:t>
            </w:r>
          </w:p>
        </w:tc>
        <w:tc>
          <w:tcPr>
            <w:tcW w:w="7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8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6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6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一个信号的LSB到下一个信号的MSB的时间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6</w:t>
            </w:r>
          </w:p>
        </w:tc>
        <w:tc>
          <w:tcPr>
            <w:tcW w:w="7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7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8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6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6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SPI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CS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n解除高电平状态到SPI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MISO三态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7</w:t>
            </w:r>
          </w:p>
        </w:tc>
        <w:tc>
          <w:tcPr>
            <w:tcW w:w="7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16</w:t>
            </w:r>
          </w:p>
        </w:tc>
        <w:tc>
          <w:tcPr>
            <w:tcW w:w="7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8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6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6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启动时间，从片选使能后到第一个SPICLK为低的时间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8</w:t>
            </w:r>
          </w:p>
        </w:tc>
        <w:tc>
          <w:tcPr>
            <w:tcW w:w="7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7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8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6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6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连续通讯时的空闲时间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1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9</w:t>
            </w:r>
          </w:p>
        </w:tc>
        <w:tc>
          <w:tcPr>
            <w:tcW w:w="74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7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89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6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63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最后一个SPI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CLK到SPI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CS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n失效的时间</w:t>
            </w:r>
          </w:p>
        </w:tc>
      </w:tr>
    </w:tbl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3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UWB模块SPI参数@19.2MHz</w:t>
      </w:r>
    </w:p>
    <w:tbl>
      <w:tblPr>
        <w:tblStyle w:val="19"/>
        <w:tblpPr w:leftFromText="180" w:rightFromText="180" w:vertAnchor="text" w:horzAnchor="page" w:tblpXSpec="center" w:tblpY="387"/>
        <w:tblOverlap w:val="never"/>
        <w:tblW w:w="9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783"/>
        <w:gridCol w:w="782"/>
        <w:gridCol w:w="971"/>
        <w:gridCol w:w="702"/>
        <w:gridCol w:w="4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7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参数</w:t>
            </w:r>
          </w:p>
        </w:tc>
        <w:tc>
          <w:tcPr>
            <w:tcW w:w="783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最小值</w:t>
            </w:r>
          </w:p>
        </w:tc>
        <w:tc>
          <w:tcPr>
            <w:tcW w:w="782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典型值</w:t>
            </w:r>
          </w:p>
        </w:tc>
        <w:tc>
          <w:tcPr>
            <w:tcW w:w="97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最大值</w:t>
            </w:r>
          </w:p>
        </w:tc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单位</w:t>
            </w:r>
          </w:p>
        </w:tc>
        <w:tc>
          <w:tcPr>
            <w:tcW w:w="4933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描述@19.2MHz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7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SPI_CLK SPI周期</w:t>
            </w:r>
          </w:p>
        </w:tc>
        <w:tc>
          <w:tcPr>
            <w:tcW w:w="783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300</w:t>
            </w:r>
          </w:p>
        </w:tc>
        <w:tc>
          <w:tcPr>
            <w:tcW w:w="782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97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702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933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当CLKPLL被使能时，SPI的时钟频率为20MHZ，否则最大为3MHZ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78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210</w:t>
            </w:r>
          </w:p>
        </w:tc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片选信号SPICSn被拉低到从机开始发送数据的时间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2</w:t>
            </w:r>
          </w:p>
        </w:tc>
        <w:tc>
          <w:tcPr>
            <w:tcW w:w="7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78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SPICLK被拉低到从机开始发送数据的时间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3</w:t>
            </w:r>
          </w:p>
        </w:tc>
        <w:tc>
          <w:tcPr>
            <w:tcW w:w="7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78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主机数据设置时间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4</w:t>
            </w:r>
          </w:p>
        </w:tc>
        <w:tc>
          <w:tcPr>
            <w:tcW w:w="7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78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主机数据保持时间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5</w:t>
            </w:r>
          </w:p>
        </w:tc>
        <w:tc>
          <w:tcPr>
            <w:tcW w:w="7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205</w:t>
            </w:r>
          </w:p>
        </w:tc>
        <w:tc>
          <w:tcPr>
            <w:tcW w:w="78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一个信号的LSB到下一个信号的MSB的时间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6</w:t>
            </w:r>
          </w:p>
        </w:tc>
        <w:tc>
          <w:tcPr>
            <w:tcW w:w="7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78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SPI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CS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n解除高电平状态到SPI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MISO三态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5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7</w:t>
            </w:r>
          </w:p>
        </w:tc>
        <w:tc>
          <w:tcPr>
            <w:tcW w:w="7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105</w:t>
            </w:r>
          </w:p>
        </w:tc>
        <w:tc>
          <w:tcPr>
            <w:tcW w:w="78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启动时间，从片选使能后到第一个SPICLK为低的时间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8</w:t>
            </w:r>
          </w:p>
        </w:tc>
        <w:tc>
          <w:tcPr>
            <w:tcW w:w="7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250</w:t>
            </w:r>
          </w:p>
        </w:tc>
        <w:tc>
          <w:tcPr>
            <w:tcW w:w="78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连续通讯时的空闲时间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0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subscript"/>
                <w:lang w:val="en-US" w:eastAsia="zh-CN"/>
              </w:rPr>
              <w:t>9</w:t>
            </w:r>
          </w:p>
        </w:tc>
        <w:tc>
          <w:tcPr>
            <w:tcW w:w="78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250</w:t>
            </w:r>
          </w:p>
        </w:tc>
        <w:tc>
          <w:tcPr>
            <w:tcW w:w="78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</w:p>
        </w:tc>
        <w:tc>
          <w:tcPr>
            <w:tcW w:w="70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ns</w:t>
            </w:r>
          </w:p>
        </w:tc>
        <w:tc>
          <w:tcPr>
            <w:tcW w:w="4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最后一个SPI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CLK到SPI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CS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n失效的时间</w:t>
            </w:r>
          </w:p>
        </w:tc>
      </w:tr>
    </w:tbl>
    <w:p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关于SPI接口的更多详细信息请查阅 ）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DW1000 Datasheet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[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 xml:space="preserve">5.8 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Host Controller Interface 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 xml:space="preserve">] </w:t>
      </w:r>
    </w:p>
    <w:p>
      <w:pPr>
        <w:pStyle w:val="3"/>
        <w:bidi w:val="0"/>
      </w:pPr>
      <w:bookmarkStart w:id="4" w:name="_Toc20626"/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引脚定义及复用功能</w:t>
      </w:r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</w:pPr>
      <w:r>
        <w:drawing>
          <wp:inline distT="0" distB="0" distL="114300" distR="114300">
            <wp:extent cx="1957070" cy="2618740"/>
            <wp:effectExtent l="0" t="0" r="5080" b="1016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图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图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6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UWB引脚图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textAlignment w:val="auto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UWB模块提供8个可配置的引脚。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textAlignment w:val="auto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默认状态下，上电之后所有的GPIO引脚被配置为输入引脚</w:t>
      </w:r>
      <w:r>
        <w:rPr>
          <w:rFonts w:hint="eastAsia" w:ascii="微软雅黑" w:hAnsi="微软雅黑" w:eastAsia="微软雅黑" w:cs="微软雅黑"/>
          <w:sz w:val="15"/>
          <w:szCs w:val="15"/>
        </w:rPr>
        <w:t>。当经过相应的配置后，这些引脚可以通过中断请求信号向主机产生中断。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textAlignment w:val="auto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GPIO0、1、2、3可以用来做其他功能。这些引脚可以驱动模块上的多个LED，来显示模块此时不同的工作状态。所有用来驱动LED的GPIO应该按照提示进行连接。GPIO5和GPIO6可以用来配置SPI的操作模式。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</w:pPr>
      <w:r>
        <w:drawing>
          <wp:inline distT="0" distB="0" distL="114300" distR="114300">
            <wp:extent cx="2068830" cy="1769745"/>
            <wp:effectExtent l="0" t="0" r="7620" b="1905"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图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图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7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GPIO驱动LED</w:t>
      </w:r>
    </w:p>
    <w:p>
      <w:pPr>
        <w:rPr>
          <w:rFonts w:hint="eastAsia"/>
          <w:lang w:val="en-US" w:eastAsia="zh-CN"/>
        </w:rPr>
      </w:pP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4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UWB模块引脚功能</w:t>
      </w:r>
    </w:p>
    <w:tbl>
      <w:tblPr>
        <w:tblStyle w:val="1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744"/>
        <w:gridCol w:w="1196"/>
        <w:gridCol w:w="182"/>
        <w:gridCol w:w="250"/>
        <w:gridCol w:w="4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信号名称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引脚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I/O（默认）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引脚描述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78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数字接口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4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SPI_CLK</w:t>
            </w:r>
          </w:p>
        </w:tc>
        <w:tc>
          <w:tcPr>
            <w:tcW w:w="74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20</w:t>
            </w:r>
          </w:p>
        </w:tc>
        <w:tc>
          <w:tcPr>
            <w:tcW w:w="1378" w:type="dxa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</w:t>
            </w:r>
          </w:p>
        </w:tc>
        <w:tc>
          <w:tcPr>
            <w:tcW w:w="4911" w:type="dxa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SPI时钟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SPI_MISO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19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DO(O-L)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SPI数据输出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SPI_MOSI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18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SPI数据输入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SPI_CS_n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17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标志SPI传输开始。当DW1000处于休眠或者深度休眠状态时，SPI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CS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n也可以作为DW1000唤醒信号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WAKEUP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DIO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当需要激活高速状态时，WAKEUP可以将DW1000从深度休眠或者休眠中唤醒，进入到工作状态；如果没有用到这个脚，这个引脚接地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EXTON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DO(O-L)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控制外部使能电路，sleep模式下，进一步减少功耗(VDDLDOA、VDDLDOD电源关断)如DCDC电源使能脚，即正常模式下，该引脚有效。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信号名称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引脚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I/O（默认）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引脚描述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IRQ/GPIO8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22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DIO(O-L)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DW1000中断请求信号（对主芯片），IRQ引脚默认输入时高电平，如果需要可以配置成低电平。当SLEEP或者DEEPSLEEP状态，应该配置成高电压激活工作，当DW1000进入SLEEP或者DEEPSLEEP状态，如果没有拉低，该引脚可能浮动并且引起不确定状态，如果IRQ功能没有使用，GPIO8应该配置成通用IO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SYNC/GPIO7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DIO(I)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默认为SYNC输入，该引脚可以被重新配置为通用I/O。SYNC输入引脚用于外部同步引脚GPIO7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SPI_PHA/GPIO6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DIO(I)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通用IO口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上电后，作为SPIPHA（SPI相位选择）引脚用于配置SPI的工作模式，在上电后，该引脚可以配置成通用IO口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SPI_POL/GPIO5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DIO(I)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通用IO口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上电后，作为SPIPOL（SPI极性选择）引脚用于配置SPI的工作模式，在上电后，该引脚可以配置成通用IO口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GPIO4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DIO(I)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通用IO口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TXLED/GPIO3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DIO(I)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通用IO口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可以配置成TXLED的驱动引脚，在发送模式用于点亮LED灯。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RXLED/GPIO2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13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DIO(I)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通用IO口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可以配置成RXLED的驱动引脚，在接收模式用于点亮LED灯。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SFDLED/GPIO1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14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DIO(I)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通用IO口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可以配置成SFDLED 的驱动引脚，当接收器找到SFD(起始帧分界符)点亮LED灯。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RXOKLED/GPIO0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15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DIO(I)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通用IO口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可以配置成RXOKLED的驱动引脚，当接收器接收完成数据帧点亮LED灯。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RST_n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DIO(O-H)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复位引脚，激活低电压输出由漏极开路驱动器拉低来重置DW1000.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信号名称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引脚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I/O（默认）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引脚描述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8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VDDAON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P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外部供电引脚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VDD3V3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6,7</w:t>
            </w:r>
          </w:p>
        </w:tc>
        <w:tc>
          <w:tcPr>
            <w:tcW w:w="137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P</w:t>
            </w:r>
          </w:p>
        </w:tc>
        <w:tc>
          <w:tcPr>
            <w:tcW w:w="491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3.3V供电引脚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注意:如果编程OTP，这个电压要上调到3.8V，之后恢复3.3V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8" w:type="dxa"/>
            <w:gridSpan w:val="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8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GND</w:t>
            </w:r>
          </w:p>
        </w:tc>
        <w:tc>
          <w:tcPr>
            <w:tcW w:w="194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8,16,21,22,23,24</w:t>
            </w:r>
          </w:p>
        </w:tc>
        <w:tc>
          <w:tcPr>
            <w:tcW w:w="43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G</w:t>
            </w:r>
          </w:p>
        </w:tc>
        <w:tc>
          <w:tcPr>
            <w:tcW w:w="46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地</w:t>
            </w:r>
          </w:p>
        </w:tc>
      </w:tr>
    </w:tbl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</w:p>
    <w:p>
      <w:pPr>
        <w:pStyle w:val="11"/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5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缩写解释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15"/>
                <w:szCs w:val="15"/>
                <w:vertAlign w:val="baseline"/>
                <w:lang w:val="en-US" w:eastAsia="zh-CN"/>
              </w:rPr>
              <w:t>缩写</w:t>
            </w:r>
          </w:p>
        </w:tc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15"/>
                <w:szCs w:val="15"/>
                <w:vertAlign w:val="baseline"/>
                <w:lang w:val="en-US" w:eastAsia="zh-CN"/>
              </w:rPr>
              <w:t>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I</w:t>
            </w:r>
          </w:p>
        </w:tc>
        <w:tc>
          <w:tcPr>
            <w:tcW w:w="426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IO</w:t>
            </w:r>
          </w:p>
        </w:tc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输入/输出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O</w:t>
            </w:r>
          </w:p>
        </w:tc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G</w:t>
            </w:r>
          </w:p>
        </w:tc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P</w:t>
            </w:r>
          </w:p>
        </w:tc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PD</w:t>
            </w:r>
          </w:p>
        </w:tc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电源去耦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O-L</w:t>
            </w:r>
          </w:p>
        </w:tc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默认为输出，复位后为低电平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O-H</w:t>
            </w:r>
          </w:p>
        </w:tc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默认为输出，复位后为高电平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I</w:t>
            </w:r>
          </w:p>
        </w:tc>
        <w:tc>
          <w:tcPr>
            <w:tcW w:w="426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默认输入引脚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注意:任何信号带有后缀'n'，表明是个低电平使能信号</w:t>
            </w:r>
          </w:p>
        </w:tc>
      </w:tr>
    </w:tbl>
    <w:p>
      <w:pP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</w:p>
    <w:p>
      <w:pPr>
        <w:rPr>
          <w:rFonts w:hint="eastAsia"/>
        </w:rPr>
      </w:pP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关于SPI接口的更多详细信息请查阅 ）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DW1000 Datasheet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[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 xml:space="preserve">5.8 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>Pin Descriptions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 xml:space="preserve">]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/>
          <w:lang w:val="en-US" w:eastAsia="zh-CN"/>
        </w:rPr>
      </w:pPr>
    </w:p>
    <w:p>
      <w:pPr>
        <w:pStyle w:val="2"/>
        <w:bidi w:val="0"/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</w:pPr>
      <w:bookmarkStart w:id="5" w:name="_Toc28307"/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电气特性</w:t>
      </w:r>
      <w:bookmarkEnd w:id="5"/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bookmarkStart w:id="6" w:name="_Toc4282"/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额定工作条件</w:t>
      </w:r>
      <w:bookmarkEnd w:id="6"/>
    </w:p>
    <w:tbl>
      <w:tblPr>
        <w:tblStyle w:val="19"/>
        <w:tblpPr w:leftFromText="180" w:rightFromText="180" w:vertAnchor="text" w:horzAnchor="page" w:tblpX="1814" w:tblpY="196"/>
        <w:tblOverlap w:val="never"/>
        <w:tblW w:w="8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955"/>
        <w:gridCol w:w="978"/>
        <w:gridCol w:w="1000"/>
        <w:gridCol w:w="744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5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参数</w:t>
            </w:r>
          </w:p>
        </w:tc>
        <w:tc>
          <w:tcPr>
            <w:tcW w:w="955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最小值</w:t>
            </w:r>
          </w:p>
        </w:tc>
        <w:tc>
          <w:tcPr>
            <w:tcW w:w="978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典型值</w:t>
            </w:r>
          </w:p>
        </w:tc>
        <w:tc>
          <w:tcPr>
            <w:tcW w:w="100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最大值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单位</w:t>
            </w:r>
          </w:p>
        </w:tc>
        <w:tc>
          <w:tcPr>
            <w:tcW w:w="300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工作温度</w:t>
            </w:r>
          </w:p>
        </w:tc>
        <w:tc>
          <w:tcPr>
            <w:tcW w:w="95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-40</w:t>
            </w:r>
          </w:p>
        </w:tc>
        <w:tc>
          <w:tcPr>
            <w:tcW w:w="97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+85</w:t>
            </w:r>
          </w:p>
        </w:tc>
        <w:tc>
          <w:tcPr>
            <w:tcW w:w="74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℃</w:t>
            </w:r>
          </w:p>
        </w:tc>
        <w:tc>
          <w:tcPr>
            <w:tcW w:w="300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电源电压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VDDAON,VDD3V3</w:t>
            </w:r>
          </w:p>
        </w:tc>
        <w:tc>
          <w:tcPr>
            <w:tcW w:w="9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2.8</w:t>
            </w:r>
          </w:p>
        </w:tc>
        <w:tc>
          <w:tcPr>
            <w:tcW w:w="9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3.3</w:t>
            </w:r>
          </w:p>
        </w:tc>
        <w:tc>
          <w:tcPr>
            <w:tcW w:w="10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3.6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</w:t>
            </w:r>
          </w:p>
        </w:tc>
        <w:tc>
          <w:tcPr>
            <w:tcW w:w="30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OTP编程电压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VDD3V3</w:t>
            </w:r>
          </w:p>
        </w:tc>
        <w:tc>
          <w:tcPr>
            <w:tcW w:w="9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3.7</w:t>
            </w:r>
          </w:p>
        </w:tc>
        <w:tc>
          <w:tcPr>
            <w:tcW w:w="9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3.8</w:t>
            </w:r>
          </w:p>
        </w:tc>
        <w:tc>
          <w:tcPr>
            <w:tcW w:w="10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3.9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</w:t>
            </w:r>
          </w:p>
        </w:tc>
        <w:tc>
          <w:tcPr>
            <w:tcW w:w="30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TOP编程是VDD3V3电压必须短时间加到3.8V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GPIO[0-7]，WAKEUP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RST_n，SPI_CS_n，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SPI_MOSI，SPI_CLK</w:t>
            </w:r>
          </w:p>
        </w:tc>
        <w:tc>
          <w:tcPr>
            <w:tcW w:w="9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3.6</w:t>
            </w:r>
          </w:p>
        </w:tc>
        <w:tc>
          <w:tcPr>
            <w:tcW w:w="7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</w:t>
            </w:r>
          </w:p>
        </w:tc>
        <w:tc>
          <w:tcPr>
            <w:tcW w:w="30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3.6Ｖ可以应用于这些引脚</w:t>
            </w:r>
          </w:p>
        </w:tc>
      </w:tr>
    </w:tbl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8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UWB模块操作条件</w:t>
      </w:r>
    </w:p>
    <w:p>
      <w:pP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注：设计时保证模组在这些范围内运行</w:t>
      </w:r>
    </w:p>
    <w:p>
      <w:pPr>
        <w:rPr>
          <w:rFonts w:hint="eastAsia"/>
          <w:lang w:val="en-US" w:eastAsia="zh-CN"/>
        </w:rPr>
      </w:pP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关于额定工作条件的更多详细信息请查阅 ）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DW1000 Datasheet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 xml:space="preserve">[3.1 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>Nominal Operating Conditions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 xml:space="preserve">] </w:t>
      </w:r>
    </w:p>
    <w:p>
      <w:pPr>
        <w:pStyle w:val="3"/>
        <w:bidi w:val="0"/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bookmarkStart w:id="7" w:name="_Toc9972"/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直流特性</w:t>
      </w:r>
      <w:bookmarkEnd w:id="7"/>
    </w:p>
    <w:p>
      <w:pPr>
        <w:rPr>
          <w:rFonts w:hint="eastAsia" w:ascii="微软雅黑" w:hAnsi="微软雅黑" w:eastAsia="微软雅黑" w:cs="微软雅黑"/>
          <w:sz w:val="15"/>
          <w:szCs w:val="15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在25</w:t>
      </w:r>
      <w:r>
        <w:rPr>
          <w:rFonts w:hint="eastAsia" w:ascii="微软雅黑" w:hAnsi="微软雅黑" w:eastAsia="微软雅黑" w:cs="微软雅黑"/>
          <w:sz w:val="15"/>
          <w:szCs w:val="15"/>
          <w:vertAlign w:val="baseline"/>
          <w:lang w:val="en-US" w:eastAsia="zh-CN"/>
        </w:rPr>
        <w:t>℃下的典型值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9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UWB模块直流特性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14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参数</w:t>
            </w:r>
          </w:p>
        </w:tc>
        <w:tc>
          <w:tcPr>
            <w:tcW w:w="114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典型值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最大值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单位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70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深度睡眠电流</w:t>
            </w:r>
          </w:p>
        </w:tc>
        <w:tc>
          <w:tcPr>
            <w:tcW w:w="114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200</w:t>
            </w:r>
          </w:p>
        </w:tc>
        <w:tc>
          <w:tcPr>
            <w:tcW w:w="142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nA</w:t>
            </w:r>
          </w:p>
        </w:tc>
        <w:tc>
          <w:tcPr>
            <w:tcW w:w="1421" w:type="dxa"/>
            <w:vMerge w:val="restar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总电流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睡眠电流</w:t>
            </w:r>
          </w:p>
        </w:tc>
        <w:tc>
          <w:tcPr>
            <w:tcW w:w="11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550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nA</w:t>
            </w:r>
          </w:p>
        </w:tc>
        <w:tc>
          <w:tcPr>
            <w:tcW w:w="142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空闲模式电流</w:t>
            </w:r>
          </w:p>
        </w:tc>
        <w:tc>
          <w:tcPr>
            <w:tcW w:w="11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13.4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mA</w:t>
            </w:r>
          </w:p>
        </w:tc>
        <w:tc>
          <w:tcPr>
            <w:tcW w:w="142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初始化电流</w:t>
            </w:r>
          </w:p>
        </w:tc>
        <w:tc>
          <w:tcPr>
            <w:tcW w:w="11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3.5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mA</w:t>
            </w:r>
          </w:p>
        </w:tc>
        <w:tc>
          <w:tcPr>
            <w:tcW w:w="1421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ＴＸ驱动能力</w:t>
            </w:r>
          </w:p>
        </w:tc>
        <w:tc>
          <w:tcPr>
            <w:tcW w:w="11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140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mA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ＲＸ驱动能力</w:t>
            </w:r>
          </w:p>
        </w:tc>
        <w:tc>
          <w:tcPr>
            <w:tcW w:w="11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160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mA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通道５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参数</w:t>
            </w:r>
          </w:p>
        </w:tc>
        <w:tc>
          <w:tcPr>
            <w:tcW w:w="11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最小值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典型值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最大值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单位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输入数字信号高电平</w:t>
            </w:r>
          </w:p>
        </w:tc>
        <w:tc>
          <w:tcPr>
            <w:tcW w:w="11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0.7*VDD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输入数字信号低电平</w:t>
            </w:r>
          </w:p>
        </w:tc>
        <w:tc>
          <w:tcPr>
            <w:tcW w:w="11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0.3*VDD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输出数字信号高电平</w:t>
            </w:r>
          </w:p>
        </w:tc>
        <w:tc>
          <w:tcPr>
            <w:tcW w:w="11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0.7*VDD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500Ω负载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输出数字低电平</w:t>
            </w:r>
          </w:p>
        </w:tc>
        <w:tc>
          <w:tcPr>
            <w:tcW w:w="11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0.3VDD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500Ω负载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GPIO,IRQ,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SPIMOSI,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EXTON输出驱动电流</w:t>
            </w:r>
          </w:p>
        </w:tc>
        <w:tc>
          <w:tcPr>
            <w:tcW w:w="11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4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8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6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mA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cs="宋体"/>
          <w:vertAlign w:val="baseline"/>
          <w:lang w:val="en-US" w:eastAsia="zh-CN"/>
        </w:rPr>
      </w:pPr>
    </w:p>
    <w:p>
      <w:pPr>
        <w:rPr>
          <w:rFonts w:hint="default" w:ascii="宋体" w:hAnsi="宋体" w:cs="宋体"/>
          <w:vertAlign w:val="baseline"/>
          <w:lang w:val="en-US" w:eastAsia="zh-CN"/>
        </w:rPr>
      </w:pPr>
    </w:p>
    <w:p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关于直流特性的更多详细信息请查阅 ）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DW1000 Datasheet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[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 xml:space="preserve">3.2 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>DC Characteristics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 xml:space="preserve">] </w:t>
      </w:r>
    </w:p>
    <w:p>
      <w:pPr>
        <w:rPr>
          <w:rFonts w:hint="eastAsia" w:ascii="宋体" w:hAnsi="宋体" w:cs="宋体"/>
          <w:vertAlign w:val="baseline"/>
          <w:lang w:val="en-US" w:eastAsia="zh-CN"/>
        </w:rPr>
      </w:pPr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</w:pPr>
      <w:bookmarkStart w:id="8" w:name="_Toc23204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接收交流特性</w:t>
      </w:r>
      <w:bookmarkEnd w:id="8"/>
    </w:p>
    <w:p>
      <w:pPr>
        <w:rPr>
          <w:rFonts w:hint="eastAsia" w:ascii="微软雅黑" w:hAnsi="微软雅黑" w:eastAsia="微软雅黑" w:cs="微软雅黑"/>
          <w:sz w:val="15"/>
          <w:szCs w:val="15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vertAlign w:val="baseline"/>
          <w:lang w:val="en-US" w:eastAsia="zh-CN"/>
        </w:rPr>
        <w:t>在25℃下的标称值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10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UWB模块接收的交流特性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94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参数</w:t>
            </w:r>
          </w:p>
        </w:tc>
        <w:tc>
          <w:tcPr>
            <w:tcW w:w="94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典型值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最大值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单位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频率范围</w:t>
            </w:r>
          </w:p>
        </w:tc>
        <w:tc>
          <w:tcPr>
            <w:tcW w:w="94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3244</w:t>
            </w:r>
          </w:p>
        </w:tc>
        <w:tc>
          <w:tcPr>
            <w:tcW w:w="142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6999</w:t>
            </w:r>
          </w:p>
        </w:tc>
        <w:tc>
          <w:tcPr>
            <w:tcW w:w="142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MHZ</w:t>
            </w:r>
          </w:p>
        </w:tc>
        <w:tc>
          <w:tcPr>
            <w:tcW w:w="142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信道带宽</w:t>
            </w:r>
          </w:p>
        </w:tc>
        <w:tc>
          <w:tcPr>
            <w:tcW w:w="9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500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MHZ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频带内阻塞水平</w:t>
            </w:r>
          </w:p>
        </w:tc>
        <w:tc>
          <w:tcPr>
            <w:tcW w:w="9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30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dBc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连续波干扰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频带外阻塞水平</w:t>
            </w:r>
          </w:p>
        </w:tc>
        <w:tc>
          <w:tcPr>
            <w:tcW w:w="9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55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dBc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连续波干扰</w:t>
            </w:r>
          </w:p>
        </w:tc>
      </w:tr>
    </w:tbl>
    <w:p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关于直流特性的更多详细信息请查阅 ）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DW1000 Datasheet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 xml:space="preserve">[3.3 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>Receiver AC Characteristics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]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</w:pPr>
      <w:bookmarkStart w:id="9" w:name="_Toc22312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接收机灵敏度特性</w:t>
      </w:r>
      <w:bookmarkEnd w:id="9"/>
    </w:p>
    <w:p>
      <w:pPr>
        <w:rPr>
          <w:rFonts w:hint="eastAsia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sz w:val="15"/>
          <w:szCs w:val="15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vertAlign w:val="baseline"/>
          <w:lang w:val="en-US" w:eastAsia="zh-CN"/>
        </w:rPr>
        <w:t>以下数据是在25℃下，20字节有效载荷，0dBi天线增益下的特性来得到表11</w:t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11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UWB模块的接收灵敏度特性典型值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084"/>
        <w:gridCol w:w="912"/>
        <w:gridCol w:w="1700"/>
        <w:gridCol w:w="1489"/>
        <w:gridCol w:w="114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包错误率</w:t>
            </w:r>
          </w:p>
        </w:tc>
        <w:tc>
          <w:tcPr>
            <w:tcW w:w="1084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数据速率</w:t>
            </w:r>
          </w:p>
        </w:tc>
        <w:tc>
          <w:tcPr>
            <w:tcW w:w="912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接收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灵敏度</w:t>
            </w:r>
          </w:p>
        </w:tc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单位</w:t>
            </w:r>
          </w:p>
        </w:tc>
        <w:tc>
          <w:tcPr>
            <w:tcW w:w="3944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Merge w:val="restar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1%</w:t>
            </w:r>
          </w:p>
        </w:tc>
        <w:tc>
          <w:tcPr>
            <w:tcW w:w="108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110kbps</w:t>
            </w:r>
          </w:p>
        </w:tc>
        <w:tc>
          <w:tcPr>
            <w:tcW w:w="912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-102</w:t>
            </w:r>
          </w:p>
        </w:tc>
        <w:tc>
          <w:tcPr>
            <w:tcW w:w="170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dBm/500MHz</w:t>
            </w:r>
          </w:p>
        </w:tc>
        <w:tc>
          <w:tcPr>
            <w:tcW w:w="1489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引导码2048</w:t>
            </w:r>
          </w:p>
        </w:tc>
        <w:tc>
          <w:tcPr>
            <w:tcW w:w="1144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载体频率偏移±10ppm</w:t>
            </w:r>
          </w:p>
        </w:tc>
        <w:tc>
          <w:tcPr>
            <w:tcW w:w="1311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所有测量据上基于第2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道，16MHz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850kbps</w:t>
            </w:r>
          </w:p>
        </w:tc>
        <w:tc>
          <w:tcPr>
            <w:tcW w:w="91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-101</w:t>
            </w:r>
          </w:p>
        </w:tc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dBm/500MHz</w:t>
            </w:r>
          </w:p>
        </w:tc>
        <w:tc>
          <w:tcPr>
            <w:tcW w:w="14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引导码1024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hint="default" w:ascii="宋体" w:hAnsi="宋体" w:cs="宋体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Merge w:val="continue"/>
          </w:tcPr>
          <w:p>
            <w:pPr>
              <w:rPr>
                <w:rFonts w:hint="default" w:ascii="宋体" w:hAnsi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6.8Mbps</w:t>
            </w:r>
          </w:p>
        </w:tc>
        <w:tc>
          <w:tcPr>
            <w:tcW w:w="91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-93</w:t>
            </w:r>
          </w:p>
        </w:tc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dBm/500MHz</w:t>
            </w:r>
          </w:p>
        </w:tc>
        <w:tc>
          <w:tcPr>
            <w:tcW w:w="14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引导码256</w:t>
            </w:r>
          </w:p>
        </w:tc>
        <w:tc>
          <w:tcPr>
            <w:tcW w:w="1144" w:type="dxa"/>
            <w:vMerge w:val="continue"/>
          </w:tcPr>
          <w:p>
            <w:pPr>
              <w:rPr>
                <w:rFonts w:hint="default" w:ascii="宋体" w:hAnsi="宋体" w:cs="宋体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Merge w:val="continue"/>
          </w:tcPr>
          <w:p>
            <w:pPr>
              <w:rPr>
                <w:rFonts w:hint="default" w:ascii="宋体" w:hAnsi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10%</w:t>
            </w:r>
          </w:p>
        </w:tc>
        <w:tc>
          <w:tcPr>
            <w:tcW w:w="108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110kbps</w:t>
            </w:r>
          </w:p>
        </w:tc>
        <w:tc>
          <w:tcPr>
            <w:tcW w:w="91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-102</w:t>
            </w:r>
          </w:p>
        </w:tc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dBm/500MHz</w:t>
            </w:r>
          </w:p>
        </w:tc>
        <w:tc>
          <w:tcPr>
            <w:tcW w:w="14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引导码2048</w:t>
            </w:r>
          </w:p>
        </w:tc>
        <w:tc>
          <w:tcPr>
            <w:tcW w:w="1144" w:type="dxa"/>
            <w:vMerge w:val="continue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1" w:type="dxa"/>
            <w:vMerge w:val="continue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850kbps</w:t>
            </w:r>
          </w:p>
        </w:tc>
        <w:tc>
          <w:tcPr>
            <w:tcW w:w="91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-101</w:t>
            </w:r>
          </w:p>
        </w:tc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dBm/500MHz</w:t>
            </w:r>
          </w:p>
        </w:tc>
        <w:tc>
          <w:tcPr>
            <w:tcW w:w="14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引导码1024</w:t>
            </w:r>
          </w:p>
        </w:tc>
        <w:tc>
          <w:tcPr>
            <w:tcW w:w="1144" w:type="dxa"/>
            <w:vMerge w:val="continue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1" w:type="dxa"/>
            <w:vMerge w:val="continue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6.8Mbps</w:t>
            </w:r>
          </w:p>
        </w:tc>
        <w:tc>
          <w:tcPr>
            <w:tcW w:w="91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-93</w:t>
            </w:r>
          </w:p>
        </w:tc>
        <w:tc>
          <w:tcPr>
            <w:tcW w:w="170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dBm/500MHz</w:t>
            </w:r>
          </w:p>
        </w:tc>
        <w:tc>
          <w:tcPr>
            <w:tcW w:w="14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引导码256</w:t>
            </w:r>
          </w:p>
        </w:tc>
        <w:tc>
          <w:tcPr>
            <w:tcW w:w="1144" w:type="dxa"/>
            <w:vMerge w:val="continue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1" w:type="dxa"/>
            <w:vMerge w:val="continue"/>
            <w:vAlign w:val="top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关于直流特性的更多详细信息请查阅 ）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DW1000 Datasheet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 xml:space="preserve">[3.4 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Receiver Sensitivity Characteristics 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 xml:space="preserve">] </w:t>
      </w:r>
    </w:p>
    <w:p>
      <w:pP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10" w:name="_Toc27348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参考时钟交流特性</w:t>
      </w:r>
      <w:bookmarkEnd w:id="10"/>
    </w:p>
    <w:p>
      <w:pPr>
        <w:rPr>
          <w:rFonts w:hint="eastAsia" w:ascii="微软雅黑" w:hAnsi="微软雅黑" w:eastAsia="微软雅黑" w:cs="微软雅黑"/>
          <w:sz w:val="15"/>
          <w:szCs w:val="15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vertAlign w:val="baseline"/>
          <w:lang w:val="en-US" w:eastAsia="zh-CN"/>
        </w:rPr>
        <w:t>25℃下的典型值</w:t>
      </w:r>
    </w:p>
    <w:p>
      <w:pPr>
        <w:rPr>
          <w:rFonts w:hint="eastAsia" w:ascii="微软雅黑" w:hAnsi="微软雅黑" w:eastAsia="微软雅黑" w:cs="微软雅黑"/>
          <w:sz w:val="15"/>
          <w:szCs w:val="15"/>
          <w:vertAlign w:val="baseline"/>
          <w:lang w:val="en-US" w:eastAsia="zh-CN"/>
        </w:rPr>
      </w:pP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12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UWB模块参考时钟的交流特性</w:t>
      </w:r>
    </w:p>
    <w:tbl>
      <w:tblPr>
        <w:tblStyle w:val="19"/>
        <w:tblpPr w:leftFromText="180" w:rightFromText="180" w:vertAnchor="text" w:horzAnchor="page" w:tblpX="1417" w:tblpY="316"/>
        <w:tblOverlap w:val="never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参数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典型值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最大值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单位</w:t>
            </w:r>
          </w:p>
        </w:tc>
        <w:tc>
          <w:tcPr>
            <w:tcW w:w="2332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板载晶振参考频率</w:t>
            </w:r>
          </w:p>
        </w:tc>
        <w:tc>
          <w:tcPr>
            <w:tcW w:w="142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38.4</w:t>
            </w:r>
          </w:p>
        </w:tc>
        <w:tc>
          <w:tcPr>
            <w:tcW w:w="142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MHz</w:t>
            </w:r>
          </w:p>
        </w:tc>
        <w:tc>
          <w:tcPr>
            <w:tcW w:w="2332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板载晶振微调范围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±25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ppm</w:t>
            </w:r>
          </w:p>
        </w:tc>
        <w:tc>
          <w:tcPr>
            <w:tcW w:w="23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内部调整到+/-2ppm的典型条件下16MHz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板载晶振热稳定性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±30*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ppm</w:t>
            </w:r>
          </w:p>
        </w:tc>
        <w:tc>
          <w:tcPr>
            <w:tcW w:w="23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-40℃ - ±85℃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板载晶振老化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低功率RC振荡器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142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15</w:t>
            </w:r>
          </w:p>
        </w:tc>
        <w:tc>
          <w:tcPr>
            <w:tcW w:w="14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KHz</w:t>
            </w:r>
          </w:p>
        </w:tc>
        <w:tc>
          <w:tcPr>
            <w:tcW w:w="23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textAlignment w:val="auto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*使用 UWB 模块 DW1000 芯片的温度监控功能模块可以削减晶体在运行时动态维护+/-2</w:t>
      </w:r>
      <w: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sz w:val="15"/>
          <w:szCs w:val="15"/>
        </w:rPr>
        <w:t>ppm规范在全温度范围内操作。</w:t>
      </w:r>
    </w:p>
    <w:p>
      <w:pPr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关于时钟交流特性的更多详细信息请查阅 ）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DW1000 Datasheet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 xml:space="preserve">[3.5 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>Reference Clock AC Characteristics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 xml:space="preserve">] </w:t>
      </w:r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</w:pPr>
      <w:bookmarkStart w:id="11" w:name="_Toc25692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发射交流特性</w:t>
      </w:r>
      <w:bookmarkEnd w:id="11"/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13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UWB模块发射交流特性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1033"/>
        <w:gridCol w:w="1467"/>
        <w:gridCol w:w="1067"/>
        <w:gridCol w:w="1166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参数</w:t>
            </w:r>
          </w:p>
        </w:tc>
        <w:tc>
          <w:tcPr>
            <w:tcW w:w="1033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467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典型值</w:t>
            </w:r>
          </w:p>
        </w:tc>
        <w:tc>
          <w:tcPr>
            <w:tcW w:w="1067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最大值</w:t>
            </w:r>
          </w:p>
        </w:tc>
        <w:tc>
          <w:tcPr>
            <w:tcW w:w="1166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单位</w:t>
            </w:r>
          </w:p>
        </w:tc>
        <w:tc>
          <w:tcPr>
            <w:tcW w:w="121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57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频率范围</w:t>
            </w:r>
          </w:p>
        </w:tc>
        <w:tc>
          <w:tcPr>
            <w:tcW w:w="1033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3244</w:t>
            </w:r>
          </w:p>
        </w:tc>
        <w:tc>
          <w:tcPr>
            <w:tcW w:w="1467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6999</w:t>
            </w:r>
          </w:p>
        </w:tc>
        <w:tc>
          <w:tcPr>
            <w:tcW w:w="1166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MHz</w:t>
            </w:r>
          </w:p>
        </w:tc>
        <w:tc>
          <w:tcPr>
            <w:tcW w:w="121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5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信道带宽</w:t>
            </w:r>
          </w:p>
        </w:tc>
        <w:tc>
          <w:tcPr>
            <w:tcW w:w="10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500</w:t>
            </w:r>
          </w:p>
        </w:tc>
        <w:tc>
          <w:tcPr>
            <w:tcW w:w="10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MHz</w:t>
            </w:r>
          </w:p>
        </w:tc>
        <w:tc>
          <w:tcPr>
            <w:tcW w:w="12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信道1，2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输出功率谱密度</w:t>
            </w:r>
          </w:p>
        </w:tc>
        <w:tc>
          <w:tcPr>
            <w:tcW w:w="10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-23</w:t>
            </w:r>
          </w:p>
        </w:tc>
        <w:tc>
          <w:tcPr>
            <w:tcW w:w="10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dBm/MHz</w:t>
            </w:r>
          </w:p>
        </w:tc>
        <w:tc>
          <w:tcPr>
            <w:tcW w:w="12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5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电平范围</w:t>
            </w:r>
          </w:p>
        </w:tc>
        <w:tc>
          <w:tcPr>
            <w:tcW w:w="10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37</w:t>
            </w:r>
          </w:p>
        </w:tc>
        <w:tc>
          <w:tcPr>
            <w:tcW w:w="10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</w:t>
            </w:r>
          </w:p>
        </w:tc>
        <w:tc>
          <w:tcPr>
            <w:tcW w:w="12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5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粗功率级</w:t>
            </w:r>
          </w:p>
        </w:tc>
        <w:tc>
          <w:tcPr>
            <w:tcW w:w="10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0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</w:t>
            </w:r>
          </w:p>
        </w:tc>
        <w:tc>
          <w:tcPr>
            <w:tcW w:w="12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精细功率级</w:t>
            </w:r>
          </w:p>
        </w:tc>
        <w:tc>
          <w:tcPr>
            <w:tcW w:w="10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0.5</w:t>
            </w:r>
          </w:p>
        </w:tc>
        <w:tc>
          <w:tcPr>
            <w:tcW w:w="10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</w:t>
            </w:r>
          </w:p>
        </w:tc>
        <w:tc>
          <w:tcPr>
            <w:tcW w:w="12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5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输出功率与温度关系</w:t>
            </w:r>
          </w:p>
        </w:tc>
        <w:tc>
          <w:tcPr>
            <w:tcW w:w="10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0.05</w:t>
            </w:r>
          </w:p>
        </w:tc>
        <w:tc>
          <w:tcPr>
            <w:tcW w:w="10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dB/℃</w:t>
            </w:r>
          </w:p>
        </w:tc>
        <w:tc>
          <w:tcPr>
            <w:tcW w:w="12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7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输出功率与电压关系</w:t>
            </w:r>
          </w:p>
        </w:tc>
        <w:tc>
          <w:tcPr>
            <w:tcW w:w="10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2.73</w:t>
            </w:r>
          </w:p>
        </w:tc>
        <w:tc>
          <w:tcPr>
            <w:tcW w:w="10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dB/V</w:t>
            </w:r>
          </w:p>
        </w:tc>
        <w:tc>
          <w:tcPr>
            <w:tcW w:w="121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信道2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关于发射交流特性的更多详细信息请查阅 ）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DW1000 Datasheet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[3.6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Transmitter AC Characteristics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]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12" w:name="_Toc10635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温度和电压检测特性</w:t>
      </w:r>
      <w:bookmarkEnd w:id="12"/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14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UWB模块温度和电压监视器的特性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577"/>
        <w:gridCol w:w="1267"/>
        <w:gridCol w:w="1356"/>
        <w:gridCol w:w="1222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参数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最小值</w:t>
            </w:r>
          </w:p>
        </w:tc>
        <w:tc>
          <w:tcPr>
            <w:tcW w:w="1267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典型值</w:t>
            </w:r>
          </w:p>
        </w:tc>
        <w:tc>
          <w:tcPr>
            <w:tcW w:w="1356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最大值</w:t>
            </w:r>
          </w:p>
        </w:tc>
        <w:tc>
          <w:tcPr>
            <w:tcW w:w="1222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单位</w:t>
            </w:r>
          </w:p>
        </w:tc>
        <w:tc>
          <w:tcPr>
            <w:tcW w:w="1155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4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电压监控范围</w:t>
            </w:r>
          </w:p>
        </w:tc>
        <w:tc>
          <w:tcPr>
            <w:tcW w:w="1577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2.4</w:t>
            </w:r>
          </w:p>
        </w:tc>
        <w:tc>
          <w:tcPr>
            <w:tcW w:w="1267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3.75</w:t>
            </w:r>
          </w:p>
        </w:tc>
        <w:tc>
          <w:tcPr>
            <w:tcW w:w="1222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</w:t>
            </w:r>
          </w:p>
        </w:tc>
        <w:tc>
          <w:tcPr>
            <w:tcW w:w="115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电压检测精密度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20</w:t>
            </w:r>
          </w:p>
        </w:tc>
        <w:tc>
          <w:tcPr>
            <w:tcW w:w="135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mV</w:t>
            </w:r>
          </w:p>
        </w:tc>
        <w:tc>
          <w:tcPr>
            <w:tcW w:w="11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电压检测精确度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140</w:t>
            </w:r>
          </w:p>
        </w:tc>
        <w:tc>
          <w:tcPr>
            <w:tcW w:w="135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mV</w:t>
            </w:r>
          </w:p>
        </w:tc>
        <w:tc>
          <w:tcPr>
            <w:tcW w:w="11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9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温度监控范围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-40</w:t>
            </w:r>
          </w:p>
        </w:tc>
        <w:tc>
          <w:tcPr>
            <w:tcW w:w="12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+100</w:t>
            </w:r>
          </w:p>
        </w:tc>
        <w:tc>
          <w:tcPr>
            <w:tcW w:w="12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℃</w:t>
            </w:r>
          </w:p>
        </w:tc>
        <w:tc>
          <w:tcPr>
            <w:tcW w:w="11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温度检测精度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0.9</w:t>
            </w:r>
          </w:p>
        </w:tc>
        <w:tc>
          <w:tcPr>
            <w:tcW w:w="135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℃</w:t>
            </w:r>
          </w:p>
        </w:tc>
        <w:tc>
          <w:tcPr>
            <w:tcW w:w="115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关于发射交流特性的更多详细信息请查阅 ）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DW1000 Datasheet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 xml:space="preserve">[3.7 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Temperature and Voltage Monitor Characteristics 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]</w:t>
      </w:r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</w:pPr>
      <w:bookmarkStart w:id="13" w:name="_Toc5717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极限值</w:t>
      </w:r>
      <w:bookmarkEnd w:id="13"/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15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UWB模块绝对最大额定值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179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参数</w:t>
            </w:r>
          </w:p>
        </w:tc>
        <w:tc>
          <w:tcPr>
            <w:tcW w:w="1793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最小值</w:t>
            </w:r>
          </w:p>
        </w:tc>
        <w:tc>
          <w:tcPr>
            <w:tcW w:w="213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最大值</w:t>
            </w:r>
          </w:p>
        </w:tc>
        <w:tc>
          <w:tcPr>
            <w:tcW w:w="2131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5"/>
                <w:szCs w:val="15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7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电压VDD3V3/VDDAON</w:t>
            </w:r>
          </w:p>
        </w:tc>
        <w:tc>
          <w:tcPr>
            <w:tcW w:w="1793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-0.3</w:t>
            </w:r>
          </w:p>
        </w:tc>
        <w:tc>
          <w:tcPr>
            <w:tcW w:w="213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4.0</w:t>
            </w:r>
          </w:p>
        </w:tc>
        <w:tc>
          <w:tcPr>
            <w:tcW w:w="2131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接收功率</w:t>
            </w:r>
          </w:p>
        </w:tc>
        <w:tc>
          <w:tcPr>
            <w:tcW w:w="179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温度-储存温度</w:t>
            </w:r>
          </w:p>
        </w:tc>
        <w:tc>
          <w:tcPr>
            <w:tcW w:w="179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-40</w:t>
            </w:r>
          </w:p>
        </w:tc>
        <w:tc>
          <w:tcPr>
            <w:tcW w:w="213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+85</w:t>
            </w:r>
          </w:p>
        </w:tc>
        <w:tc>
          <w:tcPr>
            <w:tcW w:w="213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温度-工作温度</w:t>
            </w:r>
          </w:p>
        </w:tc>
        <w:tc>
          <w:tcPr>
            <w:tcW w:w="179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-40</w:t>
            </w:r>
          </w:p>
        </w:tc>
        <w:tc>
          <w:tcPr>
            <w:tcW w:w="213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+85</w:t>
            </w:r>
          </w:p>
        </w:tc>
        <w:tc>
          <w:tcPr>
            <w:tcW w:w="213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静电放电（人体模型）</w:t>
            </w:r>
          </w:p>
        </w:tc>
        <w:tc>
          <w:tcPr>
            <w:tcW w:w="179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2000</w:t>
            </w:r>
          </w:p>
        </w:tc>
        <w:tc>
          <w:tcPr>
            <w:tcW w:w="213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vertAlign w:val="baseline"/>
                <w:lang w:val="en-US" w:eastAsia="zh-CN"/>
              </w:rPr>
              <w:t>V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关于发射交流特性的更多详细信息请查阅 ）</w:t>
      </w:r>
      <w:r>
        <w:rPr>
          <w:rStyle w:val="29"/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  <w:t>DW1000 Datasheet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 xml:space="preserve">[3.8 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>Absolute Maximum Ratings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color w:val="2E75B6" w:themeColor="accent1" w:themeShade="BF"/>
          <w:sz w:val="15"/>
          <w:szCs w:val="15"/>
          <w:lang w:val="en-US" w:eastAsia="zh-CN"/>
        </w:rPr>
        <w:t xml:space="preserve"> </w:t>
      </w:r>
      <w:r>
        <w:rPr>
          <w:rStyle w:val="29"/>
          <w:rFonts w:hint="eastAsia" w:ascii="微软雅黑" w:hAnsi="微软雅黑" w:eastAsia="微软雅黑" w:cs="微软雅黑"/>
          <w:sz w:val="15"/>
          <w:szCs w:val="15"/>
          <w:lang w:val="en-US" w:eastAsia="zh-CN"/>
        </w:rPr>
        <w:t>]</w:t>
      </w:r>
    </w:p>
    <w:p>
      <w:pPr>
        <w:rPr>
          <w:rFonts w:hint="default" w:ascii="宋体" w:hAnsi="宋体" w:cs="宋体"/>
          <w:vertAlign w:val="baseline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bookmarkStart w:id="14" w:name="_Toc26086"/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封装特性</w:t>
      </w:r>
      <w:bookmarkEnd w:id="14"/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表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表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16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WE-UB1MC02-01封装特性</w:t>
      </w:r>
    </w:p>
    <w:tbl>
      <w:tblPr>
        <w:tblStyle w:val="19"/>
        <w:tblW w:w="8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8"/>
        <w:gridCol w:w="4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8" w:type="dxa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型号</w:t>
            </w:r>
          </w:p>
        </w:tc>
        <w:tc>
          <w:tcPr>
            <w:tcW w:w="4926" w:type="dxa"/>
            <w:shd w:val="clear" w:color="auto" w:fill="9CC2E5" w:themeFill="accent1" w:themeFillTint="99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WE-UB1MC0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  <w:t>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8" w:type="dxa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实物图</w:t>
            </w:r>
          </w:p>
        </w:tc>
        <w:tc>
          <w:tcPr>
            <w:tcW w:w="4926" w:type="dxa"/>
            <w:shd w:val="clear" w:color="auto" w:fill="9CC2E5" w:themeFill="accent1" w:themeFillTint="99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2280285" cy="1285875"/>
                  <wp:effectExtent l="0" t="0" r="571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8" w:type="dxa"/>
            <w:shd w:val="clear" w:color="auto" w:fill="2E75B5" w:themeFill="accent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15"/>
                <w:szCs w:val="15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模组尺寸图（单位：mm）</w:t>
            </w:r>
          </w:p>
        </w:tc>
        <w:tc>
          <w:tcPr>
            <w:tcW w:w="4926" w:type="dxa"/>
            <w:shd w:val="clear" w:color="auto" w:fill="9CC2E5" w:themeFill="accent1" w:themeFillTint="99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2217420" cy="2250440"/>
                  <wp:effectExtent l="0" t="0" r="16510" b="11430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17420" cy="22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bidi w:val="0"/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</w:pPr>
      <w:bookmarkStart w:id="15" w:name="_Toc5273"/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WE-UB1MC02-01电路图</w:t>
      </w:r>
      <w:bookmarkEnd w:id="15"/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</w:pPr>
      <w:bookmarkStart w:id="16" w:name="_Toc21183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WE-UB1MC02-01模块电路图</w:t>
      </w:r>
      <w:bookmarkEnd w:id="16"/>
    </w:p>
    <w:p>
      <w:pPr>
        <w:jc w:val="center"/>
      </w:pPr>
      <w:r>
        <w:drawing>
          <wp:inline distT="0" distB="0" distL="114300" distR="114300">
            <wp:extent cx="3804285" cy="2259965"/>
            <wp:effectExtent l="0" t="0" r="5715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图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图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9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WE-UB1MC02-01模块电路图</w:t>
      </w:r>
    </w:p>
    <w:p>
      <w:pP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</w:pPr>
      <w:bookmarkStart w:id="17" w:name="_Toc4673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WE-UB1MC02-01模块与单片机连接示例图</w:t>
      </w:r>
      <w:bookmarkEnd w:id="17"/>
    </w:p>
    <w:p>
      <w:r>
        <w:drawing>
          <wp:inline distT="0" distB="0" distL="114300" distR="114300">
            <wp:extent cx="5273040" cy="2278380"/>
            <wp:effectExtent l="0" t="0" r="3810" b="7620"/>
            <wp:docPr id="8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图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图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10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实际项目WE-UB1MC02-01模块外部电路图</w:t>
      </w:r>
    </w:p>
    <w:p>
      <w:r>
        <w:drawing>
          <wp:inline distT="0" distB="0" distL="114300" distR="114300">
            <wp:extent cx="5269865" cy="4311015"/>
            <wp:effectExtent l="0" t="0" r="6985" b="13335"/>
            <wp:docPr id="8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 w:val="0"/>
        <w:numPr>
          <w:ilvl w:val="0"/>
          <w:numId w:val="0"/>
        </w:numPr>
        <w:spacing w:line="360" w:lineRule="auto"/>
        <w:jc w:val="center"/>
        <w:rPr>
          <w:rFonts w:hint="default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图 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instrText xml:space="preserve"> SEQ 图 \* ARABIC </w:instrTex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>11</w:t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color w:val="2E75B6" w:themeColor="accent1" w:themeShade="BF"/>
          <w:kern w:val="2"/>
          <w:sz w:val="15"/>
          <w:szCs w:val="15"/>
          <w:lang w:val="en-US" w:eastAsia="zh-CN" w:bidi="ar-SA"/>
        </w:rPr>
        <w:t xml:space="preserve"> 实际项目单片机与WE-UB1MC02-01连接的引脚图</w:t>
      </w:r>
    </w:p>
    <w:p>
      <w:pPr>
        <w:pStyle w:val="2"/>
        <w:bidi w:val="0"/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</w:pPr>
      <w:bookmarkStart w:id="18" w:name="_Toc7116"/>
      <w:r>
        <w:rPr>
          <w:rFonts w:hint="eastAsia" w:ascii="微软雅黑" w:hAnsi="微软雅黑" w:eastAsia="微软雅黑" w:cs="微软雅黑"/>
          <w:color w:val="2E75B6" w:themeColor="accent1" w:themeShade="BF"/>
          <w:lang w:val="en-US" w:eastAsia="zh-CN"/>
        </w:rPr>
        <w:t>应用场景</w:t>
      </w:r>
      <w:bookmarkEnd w:id="18"/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</w:pPr>
      <w:bookmarkStart w:id="19" w:name="_Toc17702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UWB应用场景——电力巡检</w:t>
      </w:r>
      <w:bookmarkEnd w:id="1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textAlignment w:val="auto"/>
        <w:rPr>
          <w:rFonts w:hint="eastAsia" w:ascii="微软雅黑" w:hAnsi="微软雅黑" w:eastAsia="微软雅黑" w:cs="微软雅黑"/>
          <w:sz w:val="15"/>
          <w:szCs w:val="15"/>
          <w:lang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电厂人员定位管理系统可以弥补人为疏忽，大大降低人为风险，保障工作人员的安全</w:t>
      </w: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t>，</w:t>
      </w:r>
      <w:r>
        <w:rPr>
          <w:rFonts w:hint="eastAsia" w:ascii="微软雅黑" w:hAnsi="微软雅黑" w:eastAsia="微软雅黑" w:cs="微软雅黑"/>
          <w:sz w:val="15"/>
          <w:szCs w:val="15"/>
        </w:rPr>
        <w:t>实时管理工作人员、来访人员、安保人员，通过员工佩戴卡式定位标签，外来人员登记身份临时发胸卡标签，安保人员佩戴肩夹式标签，可对各类人员的位置信息进行实时管理</w:t>
      </w: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t>。</w:t>
      </w:r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</w:pPr>
      <w:bookmarkStart w:id="20" w:name="_Toc23703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UWB应用场景——仓储物流</w:t>
      </w:r>
      <w:bookmarkEnd w:id="2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textAlignment w:val="auto"/>
        <w:rPr>
          <w:rFonts w:hint="eastAsia" w:ascii="微软雅黑" w:hAnsi="微软雅黑" w:eastAsia="微软雅黑" w:cs="微软雅黑"/>
          <w:sz w:val="15"/>
          <w:szCs w:val="15"/>
          <w:lang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仓储物流定位解决方案采用自主研发的高精度定位系统，通过在物流园区布设基站，大范围覆盖，对园区人员、车辆、叉车等进行实时精确定位，系统精度高达厘米级</w:t>
      </w: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t>。</w:t>
      </w:r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</w:pPr>
      <w:bookmarkStart w:id="21" w:name="_Toc27510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UWB应用场景——历史轨迹查询</w:t>
      </w:r>
      <w:bookmarkEnd w:id="2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textAlignment w:val="auto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基于UWB超宽带定位技术，可随时查看被定位目标在某一时段的历史轨迹，在后台实现直观的回放，比如查看不同工种人员的上岗/离岗时间、在某区域的停留时间等数据，一旦发生突发情况，可通过历史轨迹查询来实现事件追溯。</w:t>
      </w:r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</w:pPr>
      <w:bookmarkStart w:id="22" w:name="_Toc20538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UWB应用场景——一键紧急求助</w:t>
      </w:r>
      <w:bookmarkEnd w:id="2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textAlignment w:val="auto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以电厂人员定位项目中实际应用来说，当厂区某处发生危险时，人员第一时间撤离至关重要。通过在人员随身佩戴的定位卡片上集成“一键求助”功能，当遇到灾情或危险可及时预警；相关人员可依据预警信息获知其位置，便于及时施救。</w:t>
      </w:r>
    </w:p>
    <w:p>
      <w:pPr>
        <w:pStyle w:val="3"/>
        <w:bidi w:val="0"/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</w:pPr>
      <w:bookmarkStart w:id="23" w:name="_Toc31480"/>
      <w:r>
        <w:rPr>
          <w:rFonts w:hint="eastAsia" w:ascii="微软雅黑" w:hAnsi="微软雅黑" w:eastAsia="微软雅黑" w:cs="微软雅黑"/>
          <w:color w:val="2E75B6" w:themeColor="accent1" w:themeShade="BF"/>
          <w:vertAlign w:val="baseline"/>
          <w:lang w:val="en-US" w:eastAsia="zh-CN"/>
        </w:rPr>
        <w:t>UWB应用场景——智慧工地</w:t>
      </w:r>
      <w:bookmarkEnd w:id="2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200"/>
        <w:textAlignment w:val="auto"/>
        <w:rPr>
          <w:rFonts w:hint="eastAsia" w:ascii="微软雅黑" w:hAnsi="微软雅黑" w:eastAsia="微软雅黑" w:cs="微软雅黑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</w:rPr>
        <w:t>围绕建筑工地现场的“人、机、料、法、环”五大要素，采用先进的实时定位技术，在提高施工现场管理水平的同时，为项目相关各方构建一个沟通协调、信息共享的平台</w:t>
      </w: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color w:val="1F4E79" w:themeColor="accent1" w:themeShade="80"/>
        <w:kern w:val="0"/>
        <w:sz w:val="15"/>
        <w:szCs w:val="15"/>
        <w:u w:val="single"/>
        <w:lang w:val="en-US" w:eastAsia="zh-CN"/>
      </w:rPr>
      <w:t>UWB模组</w:t>
    </w:r>
    <w:r>
      <w:rPr>
        <w:rFonts w:hint="eastAsia" w:ascii="微软雅黑" w:hAnsi="微软雅黑" w:eastAsia="微软雅黑" w:cs="微软雅黑"/>
        <w:b/>
        <w:bCs/>
        <w:color w:val="1F4E79" w:themeColor="accent1" w:themeShade="80"/>
        <w:sz w:val="15"/>
        <w:szCs w:val="15"/>
        <w:u w:val="single"/>
      </w:rPr>
      <w:t>WE-UB1MC</w:t>
    </w:r>
    <w:r>
      <w:rPr>
        <w:rFonts w:hint="eastAsia" w:ascii="微软雅黑" w:hAnsi="微软雅黑" w:eastAsia="微软雅黑" w:cs="微软雅黑"/>
        <w:b/>
        <w:bCs/>
        <w:color w:val="1F4E79" w:themeColor="accent1" w:themeShade="80"/>
        <w:sz w:val="15"/>
        <w:szCs w:val="15"/>
        <w:u w:val="single"/>
        <w:lang w:val="en-US" w:eastAsia="zh-CN"/>
      </w:rPr>
      <w:t>02</w:t>
    </w:r>
    <w:r>
      <w:rPr>
        <w:rFonts w:hint="eastAsia" w:ascii="微软雅黑" w:hAnsi="微软雅黑" w:eastAsia="微软雅黑" w:cs="微软雅黑"/>
        <w:b/>
        <w:bCs/>
        <w:color w:val="1F4E79" w:themeColor="accent1" w:themeShade="80"/>
        <w:sz w:val="15"/>
        <w:szCs w:val="15"/>
        <w:u w:val="single"/>
      </w:rPr>
      <w:t>-01</w:t>
    </w:r>
    <w:r>
      <w:rPr>
        <w:rFonts w:hint="eastAsia" w:ascii="微软雅黑" w:hAnsi="微软雅黑" w:eastAsia="微软雅黑" w:cs="微软雅黑"/>
        <w:b/>
        <w:bCs/>
        <w:color w:val="1F4E79" w:themeColor="accent1" w:themeShade="80"/>
        <w:sz w:val="15"/>
        <w:szCs w:val="15"/>
        <w:u w:val="single"/>
        <w:lang w:val="en-US" w:eastAsia="zh-CN"/>
      </w:rPr>
      <w:t>用户手册V1.0</w:t>
    </w:r>
    <w:r>
      <w:rPr>
        <w:rFonts w:hint="eastAsia" w:ascii="微软雅黑" w:hAnsi="微软雅黑" w:eastAsia="微软雅黑" w:cs="微软雅黑"/>
        <w:sz w:val="15"/>
        <w:szCs w:val="15"/>
        <w:u w:val="single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kern w:val="0"/>
        <w:sz w:val="15"/>
        <w:szCs w:val="15"/>
        <w:u w:val="single"/>
      </w:rPr>
      <w:t xml:space="preserve">            </w:t>
    </w:r>
    <w:r>
      <w:rPr>
        <w:rFonts w:hint="eastAsia" w:ascii="微软雅黑" w:hAnsi="微软雅黑" w:eastAsia="微软雅黑" w:cs="微软雅黑"/>
        <w:kern w:val="0"/>
        <w:sz w:val="15"/>
        <w:szCs w:val="15"/>
        <w:u w:val="single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kern w:val="0"/>
        <w:sz w:val="15"/>
        <w:szCs w:val="15"/>
        <w:u w:val="single"/>
      </w:rPr>
      <w:t xml:space="preserve">  </w:t>
    </w:r>
    <w:r>
      <w:rPr>
        <w:rFonts w:hint="eastAsia" w:ascii="微软雅黑" w:hAnsi="微软雅黑" w:eastAsia="微软雅黑" w:cs="微软雅黑"/>
        <w:kern w:val="0"/>
        <w:sz w:val="15"/>
        <w:szCs w:val="15"/>
        <w:u w:val="single"/>
        <w:lang w:val="en-US" w:eastAsia="zh-CN"/>
      </w:rPr>
      <w:t xml:space="preserve">  </w:t>
    </w:r>
    <w:r>
      <w:rPr>
        <w:rFonts w:hint="eastAsia" w:ascii="微软雅黑" w:hAnsi="微软雅黑" w:eastAsia="微软雅黑" w:cs="微软雅黑"/>
        <w:kern w:val="0"/>
        <w:sz w:val="15"/>
        <w:szCs w:val="15"/>
        <w:u w:val="single"/>
      </w:rPr>
      <w:t xml:space="preserve"> </w:t>
    </w:r>
    <w:r>
      <w:rPr>
        <w:rFonts w:hint="eastAsia" w:ascii="微软雅黑" w:hAnsi="微软雅黑" w:eastAsia="微软雅黑" w:cs="微软雅黑"/>
        <w:kern w:val="0"/>
        <w:sz w:val="15"/>
        <w:szCs w:val="15"/>
        <w:u w:val="single"/>
        <w:lang w:val="en-US" w:eastAsia="zh-CN"/>
      </w:rPr>
      <w:tab/>
    </w:r>
    <w:r>
      <w:rPr>
        <w:rFonts w:hint="eastAsia" w:ascii="微软雅黑" w:hAnsi="微软雅黑" w:eastAsia="微软雅黑" w:cs="微软雅黑"/>
        <w:kern w:val="0"/>
        <w:sz w:val="15"/>
        <w:szCs w:val="15"/>
        <w:u w:val="single"/>
        <w:lang w:val="en-US" w:eastAsia="zh-CN"/>
      </w:rPr>
      <w:tab/>
    </w:r>
    <w:r>
      <w:rPr>
        <w:rFonts w:hint="eastAsia" w:ascii="微软雅黑" w:hAnsi="微软雅黑" w:eastAsia="微软雅黑" w:cs="微软雅黑"/>
        <w:kern w:val="0"/>
        <w:sz w:val="15"/>
        <w:szCs w:val="15"/>
        <w:u w:val="single"/>
        <w:lang w:val="en-US" w:eastAsia="zh-CN"/>
      </w:rPr>
      <w:tab/>
    </w:r>
    <w:r>
      <w:rPr>
        <w:rFonts w:hint="eastAsia" w:ascii="微软雅黑" w:hAnsi="微软雅黑" w:eastAsia="微软雅黑" w:cs="微软雅黑"/>
        <w:kern w:val="0"/>
        <w:sz w:val="15"/>
        <w:szCs w:val="15"/>
        <w:u w:val="single"/>
        <w:lang w:val="en-US" w:eastAsia="zh-CN"/>
      </w:rPr>
      <w:tab/>
    </w:r>
    <w:r>
      <w:rPr>
        <w:rFonts w:hint="eastAsia" w:ascii="微软雅黑" w:hAnsi="微软雅黑" w:eastAsia="微软雅黑" w:cs="微软雅黑"/>
        <w:kern w:val="0"/>
        <w:sz w:val="15"/>
        <w:szCs w:val="15"/>
        <w:u w:val="single"/>
      </w:rPr>
      <w:drawing>
        <wp:inline distT="0" distB="0" distL="114300" distR="114300">
          <wp:extent cx="648970" cy="222250"/>
          <wp:effectExtent l="0" t="0" r="17780" b="6350"/>
          <wp:docPr id="14" name="图片 8" descr="海南世电_默认3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8" descr="海南世电_默认3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kern w:val="0"/>
        <w:sz w:val="15"/>
        <w:szCs w:val="15"/>
        <w:u w:val="single"/>
      </w:rPr>
      <w:t xml:space="preserve">             </w:t>
    </w:r>
    <w:r>
      <w:rPr>
        <w:rFonts w:hint="eastAsia" w:ascii="微软雅黑" w:hAnsi="微软雅黑" w:eastAsia="微软雅黑" w:cs="微软雅黑"/>
        <w:kern w:val="0"/>
        <w:sz w:val="15"/>
        <w:szCs w:val="15"/>
        <w:u w:val="single"/>
        <w:lang w:val="en-US" w:eastAsia="zh-CN"/>
      </w:rPr>
      <w:t xml:space="preserve"> </w:t>
    </w:r>
    <w:r>
      <w:rPr>
        <w:rFonts w:hint="eastAsia" w:ascii="ËÎÌå" w:hAnsi="ËÎÌå" w:cs="ËÎÌå"/>
        <w:kern w:val="0"/>
        <w:sz w:val="21"/>
        <w:szCs w:val="21"/>
        <w:u w:val="single"/>
      </w:rPr>
      <w:t xml:space="preserve">          </w:t>
    </w:r>
    <w:r>
      <w:rPr>
        <w:rFonts w:hint="eastAsia" w:ascii="黑体" w:eastAsia="黑体"/>
        <w:spacing w:val="24"/>
        <w:sz w:val="28"/>
        <w:szCs w:val="28"/>
        <w:u w:val="single"/>
      </w:rPr>
      <w:t xml:space="preserve">                      </w:t>
    </w:r>
    <w:r>
      <w:rPr>
        <w:rFonts w:hint="eastAsia" w:ascii="宋体" w:hAnsi="宋体"/>
        <w:sz w:val="21"/>
        <w:szCs w:val="21"/>
        <w:u w:val="singl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F5C6BF"/>
    <w:multiLevelType w:val="multilevel"/>
    <w:tmpl w:val="92F5C6B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pStyle w:val="5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EE1823E8"/>
    <w:multiLevelType w:val="multilevel"/>
    <w:tmpl w:val="EE1823E8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  <w:color w:val="2E75B6" w:themeColor="accent1" w:themeShade="BF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 w:ascii="微软雅黑" w:hAnsi="微软雅黑" w:eastAsia="微软雅黑" w:cs="微软雅黑"/>
        <w:color w:val="2E75B6" w:themeColor="accent1" w:themeShade="BF"/>
        <w:sz w:val="24"/>
        <w:szCs w:val="24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NzZhNTNhMmU2YmI4ZWI1NDdjYzg5NjBhYmVkYjEifQ=="/>
  </w:docVars>
  <w:rsids>
    <w:rsidRoot w:val="00172A27"/>
    <w:rsid w:val="000C1FF9"/>
    <w:rsid w:val="00125861"/>
    <w:rsid w:val="0016760D"/>
    <w:rsid w:val="007B20C5"/>
    <w:rsid w:val="009C15CF"/>
    <w:rsid w:val="00A56A6C"/>
    <w:rsid w:val="00B4075E"/>
    <w:rsid w:val="00DC7C1D"/>
    <w:rsid w:val="00E25260"/>
    <w:rsid w:val="01395070"/>
    <w:rsid w:val="01635C49"/>
    <w:rsid w:val="01671BDD"/>
    <w:rsid w:val="016A5F88"/>
    <w:rsid w:val="017938C6"/>
    <w:rsid w:val="01831A44"/>
    <w:rsid w:val="019661C4"/>
    <w:rsid w:val="02025461"/>
    <w:rsid w:val="020E2058"/>
    <w:rsid w:val="02193C7F"/>
    <w:rsid w:val="02A23DC5"/>
    <w:rsid w:val="02D037B2"/>
    <w:rsid w:val="03113440"/>
    <w:rsid w:val="031A59A9"/>
    <w:rsid w:val="032920CF"/>
    <w:rsid w:val="03A45FC5"/>
    <w:rsid w:val="03D2624F"/>
    <w:rsid w:val="03D903C3"/>
    <w:rsid w:val="03E70DB3"/>
    <w:rsid w:val="03FE4A84"/>
    <w:rsid w:val="040A2CF3"/>
    <w:rsid w:val="044E1949"/>
    <w:rsid w:val="04616819"/>
    <w:rsid w:val="047368F3"/>
    <w:rsid w:val="04E86B91"/>
    <w:rsid w:val="04F36984"/>
    <w:rsid w:val="05091A55"/>
    <w:rsid w:val="050A007D"/>
    <w:rsid w:val="051522F5"/>
    <w:rsid w:val="052920C9"/>
    <w:rsid w:val="05350DCE"/>
    <w:rsid w:val="05487DA9"/>
    <w:rsid w:val="056D52E8"/>
    <w:rsid w:val="059756C6"/>
    <w:rsid w:val="05AE3D39"/>
    <w:rsid w:val="05F9115D"/>
    <w:rsid w:val="06136AFB"/>
    <w:rsid w:val="067E27BF"/>
    <w:rsid w:val="069D7C35"/>
    <w:rsid w:val="06AB6613"/>
    <w:rsid w:val="06D33870"/>
    <w:rsid w:val="06D82C35"/>
    <w:rsid w:val="070D6D82"/>
    <w:rsid w:val="070F22DC"/>
    <w:rsid w:val="075A189C"/>
    <w:rsid w:val="0776134C"/>
    <w:rsid w:val="07923653"/>
    <w:rsid w:val="079D72AE"/>
    <w:rsid w:val="07C136C9"/>
    <w:rsid w:val="07E52E94"/>
    <w:rsid w:val="0824483B"/>
    <w:rsid w:val="0840360E"/>
    <w:rsid w:val="085207C5"/>
    <w:rsid w:val="087D57CE"/>
    <w:rsid w:val="089E4AB6"/>
    <w:rsid w:val="09320D22"/>
    <w:rsid w:val="095D456F"/>
    <w:rsid w:val="097A6CE6"/>
    <w:rsid w:val="09F750BC"/>
    <w:rsid w:val="0A0371E4"/>
    <w:rsid w:val="0A725B65"/>
    <w:rsid w:val="0A9E7CF1"/>
    <w:rsid w:val="0ADD6A6C"/>
    <w:rsid w:val="0AF3628F"/>
    <w:rsid w:val="0B186B99"/>
    <w:rsid w:val="0B195D46"/>
    <w:rsid w:val="0B284210"/>
    <w:rsid w:val="0B70523B"/>
    <w:rsid w:val="0B8D51A5"/>
    <w:rsid w:val="0B9335CE"/>
    <w:rsid w:val="0BB579E9"/>
    <w:rsid w:val="0BE67BA2"/>
    <w:rsid w:val="0C913FB2"/>
    <w:rsid w:val="0CA23AC9"/>
    <w:rsid w:val="0CE045F1"/>
    <w:rsid w:val="0D126CD0"/>
    <w:rsid w:val="0D1B0927"/>
    <w:rsid w:val="0D437B86"/>
    <w:rsid w:val="0D780CCE"/>
    <w:rsid w:val="0D782A7C"/>
    <w:rsid w:val="0D8F6585"/>
    <w:rsid w:val="0DCB13F4"/>
    <w:rsid w:val="0DE10621"/>
    <w:rsid w:val="0E4B63E2"/>
    <w:rsid w:val="0E8F62CF"/>
    <w:rsid w:val="0EB87DB3"/>
    <w:rsid w:val="0ED143A4"/>
    <w:rsid w:val="0F087E2F"/>
    <w:rsid w:val="0F0F6660"/>
    <w:rsid w:val="0F3535B7"/>
    <w:rsid w:val="0F4C41C0"/>
    <w:rsid w:val="0FA37CB2"/>
    <w:rsid w:val="0FB754D2"/>
    <w:rsid w:val="0FC04BD8"/>
    <w:rsid w:val="0FE97C61"/>
    <w:rsid w:val="1025513D"/>
    <w:rsid w:val="107A0778"/>
    <w:rsid w:val="10854774"/>
    <w:rsid w:val="109F7E19"/>
    <w:rsid w:val="10B21D49"/>
    <w:rsid w:val="10BC5375"/>
    <w:rsid w:val="10DB2C49"/>
    <w:rsid w:val="118440E5"/>
    <w:rsid w:val="11936AB0"/>
    <w:rsid w:val="11B40DFE"/>
    <w:rsid w:val="12062999"/>
    <w:rsid w:val="12E7443B"/>
    <w:rsid w:val="1319306B"/>
    <w:rsid w:val="13420CA5"/>
    <w:rsid w:val="13AC7923"/>
    <w:rsid w:val="13BB6DB4"/>
    <w:rsid w:val="13C221FD"/>
    <w:rsid w:val="13D84274"/>
    <w:rsid w:val="13ED6D54"/>
    <w:rsid w:val="140959BA"/>
    <w:rsid w:val="14E90674"/>
    <w:rsid w:val="14F213EA"/>
    <w:rsid w:val="14F26405"/>
    <w:rsid w:val="152E5B98"/>
    <w:rsid w:val="158101CE"/>
    <w:rsid w:val="15AA6F86"/>
    <w:rsid w:val="15B71DCB"/>
    <w:rsid w:val="15D43799"/>
    <w:rsid w:val="15F01D49"/>
    <w:rsid w:val="15F61834"/>
    <w:rsid w:val="15FD70CC"/>
    <w:rsid w:val="16417A13"/>
    <w:rsid w:val="16442EAB"/>
    <w:rsid w:val="16726C02"/>
    <w:rsid w:val="16A37BE9"/>
    <w:rsid w:val="16A421AA"/>
    <w:rsid w:val="16BD7EC5"/>
    <w:rsid w:val="16BF6B65"/>
    <w:rsid w:val="16C64858"/>
    <w:rsid w:val="16FB7A96"/>
    <w:rsid w:val="17167E37"/>
    <w:rsid w:val="171C4DC0"/>
    <w:rsid w:val="17427BCC"/>
    <w:rsid w:val="18237F11"/>
    <w:rsid w:val="18A60DE5"/>
    <w:rsid w:val="18C43019"/>
    <w:rsid w:val="18E325EF"/>
    <w:rsid w:val="190331F6"/>
    <w:rsid w:val="19063631"/>
    <w:rsid w:val="191775ED"/>
    <w:rsid w:val="19371A3D"/>
    <w:rsid w:val="19584BB8"/>
    <w:rsid w:val="19BB08C0"/>
    <w:rsid w:val="19E85208"/>
    <w:rsid w:val="1A766595"/>
    <w:rsid w:val="1A9963FA"/>
    <w:rsid w:val="1A9C4535"/>
    <w:rsid w:val="1AB16D1F"/>
    <w:rsid w:val="1ABC669E"/>
    <w:rsid w:val="1B016BA8"/>
    <w:rsid w:val="1B1069E9"/>
    <w:rsid w:val="1B17319D"/>
    <w:rsid w:val="1B3A1986"/>
    <w:rsid w:val="1BB13D28"/>
    <w:rsid w:val="1BEA548C"/>
    <w:rsid w:val="1C4032FE"/>
    <w:rsid w:val="1C4675E8"/>
    <w:rsid w:val="1C4E77C9"/>
    <w:rsid w:val="1C7918F4"/>
    <w:rsid w:val="1C7A05BE"/>
    <w:rsid w:val="1C7D3C0B"/>
    <w:rsid w:val="1C88643E"/>
    <w:rsid w:val="1C944F1A"/>
    <w:rsid w:val="1CE4012E"/>
    <w:rsid w:val="1D17405F"/>
    <w:rsid w:val="1D2572EE"/>
    <w:rsid w:val="1D31023A"/>
    <w:rsid w:val="1D4E7035"/>
    <w:rsid w:val="1D9064C4"/>
    <w:rsid w:val="1D965DC8"/>
    <w:rsid w:val="1DB16ABC"/>
    <w:rsid w:val="1DD625CE"/>
    <w:rsid w:val="1DE657E0"/>
    <w:rsid w:val="1E0E387F"/>
    <w:rsid w:val="1E0E6FB0"/>
    <w:rsid w:val="1E2F6F40"/>
    <w:rsid w:val="1E467A0C"/>
    <w:rsid w:val="1E5B152D"/>
    <w:rsid w:val="1EC52EC2"/>
    <w:rsid w:val="1ED470A1"/>
    <w:rsid w:val="1EF7313B"/>
    <w:rsid w:val="1F212F73"/>
    <w:rsid w:val="1F313D83"/>
    <w:rsid w:val="1F3709E9"/>
    <w:rsid w:val="1F375C7D"/>
    <w:rsid w:val="1F395766"/>
    <w:rsid w:val="1F44144F"/>
    <w:rsid w:val="1FA3669D"/>
    <w:rsid w:val="1FAA6FC1"/>
    <w:rsid w:val="1FCA128A"/>
    <w:rsid w:val="1FE752C6"/>
    <w:rsid w:val="202076CF"/>
    <w:rsid w:val="202E02B7"/>
    <w:rsid w:val="2039253E"/>
    <w:rsid w:val="209854B7"/>
    <w:rsid w:val="209C3AC2"/>
    <w:rsid w:val="20BC50D1"/>
    <w:rsid w:val="216F0FDC"/>
    <w:rsid w:val="217C7F65"/>
    <w:rsid w:val="21BD198C"/>
    <w:rsid w:val="21E24426"/>
    <w:rsid w:val="2201172B"/>
    <w:rsid w:val="220A0B8A"/>
    <w:rsid w:val="22101B91"/>
    <w:rsid w:val="22341ABF"/>
    <w:rsid w:val="223E29CA"/>
    <w:rsid w:val="22525B39"/>
    <w:rsid w:val="229200CD"/>
    <w:rsid w:val="22BB36DF"/>
    <w:rsid w:val="22E744D4"/>
    <w:rsid w:val="22EC35F7"/>
    <w:rsid w:val="233A551A"/>
    <w:rsid w:val="23676543"/>
    <w:rsid w:val="23B030D8"/>
    <w:rsid w:val="23E61F8D"/>
    <w:rsid w:val="241D7CE7"/>
    <w:rsid w:val="24391394"/>
    <w:rsid w:val="24424BB7"/>
    <w:rsid w:val="24460256"/>
    <w:rsid w:val="24594F5D"/>
    <w:rsid w:val="24613E12"/>
    <w:rsid w:val="24C525F3"/>
    <w:rsid w:val="24E6661A"/>
    <w:rsid w:val="24FC63E6"/>
    <w:rsid w:val="25076963"/>
    <w:rsid w:val="250D61E7"/>
    <w:rsid w:val="25345930"/>
    <w:rsid w:val="258E25D7"/>
    <w:rsid w:val="25A4045A"/>
    <w:rsid w:val="25AB0DF5"/>
    <w:rsid w:val="25EE5B79"/>
    <w:rsid w:val="2609650F"/>
    <w:rsid w:val="26797B39"/>
    <w:rsid w:val="26873720"/>
    <w:rsid w:val="26A076A8"/>
    <w:rsid w:val="26AB17F3"/>
    <w:rsid w:val="26CB07D0"/>
    <w:rsid w:val="26F009DF"/>
    <w:rsid w:val="270311B0"/>
    <w:rsid w:val="27702CEA"/>
    <w:rsid w:val="279E3DEE"/>
    <w:rsid w:val="27A2091D"/>
    <w:rsid w:val="27DE3343"/>
    <w:rsid w:val="27E21523"/>
    <w:rsid w:val="27E534A0"/>
    <w:rsid w:val="27F51441"/>
    <w:rsid w:val="280827E6"/>
    <w:rsid w:val="28247630"/>
    <w:rsid w:val="28286F84"/>
    <w:rsid w:val="28683AFD"/>
    <w:rsid w:val="288E2E94"/>
    <w:rsid w:val="28A349F9"/>
    <w:rsid w:val="28CF53DB"/>
    <w:rsid w:val="29001E4B"/>
    <w:rsid w:val="290851A4"/>
    <w:rsid w:val="29283150"/>
    <w:rsid w:val="293E7C9D"/>
    <w:rsid w:val="297840D8"/>
    <w:rsid w:val="298E32BC"/>
    <w:rsid w:val="29DF191C"/>
    <w:rsid w:val="29E16205"/>
    <w:rsid w:val="2AA65F94"/>
    <w:rsid w:val="2AF0488D"/>
    <w:rsid w:val="2B1D4F24"/>
    <w:rsid w:val="2B42499D"/>
    <w:rsid w:val="2B485D2C"/>
    <w:rsid w:val="2B5C4588"/>
    <w:rsid w:val="2B792842"/>
    <w:rsid w:val="2B830B12"/>
    <w:rsid w:val="2B8313B8"/>
    <w:rsid w:val="2BA528E8"/>
    <w:rsid w:val="2BCC4267"/>
    <w:rsid w:val="2C022949"/>
    <w:rsid w:val="2C097269"/>
    <w:rsid w:val="2C2979A4"/>
    <w:rsid w:val="2C3F712F"/>
    <w:rsid w:val="2C666469"/>
    <w:rsid w:val="2C671545"/>
    <w:rsid w:val="2CB5568D"/>
    <w:rsid w:val="2CBC035B"/>
    <w:rsid w:val="2CD53D30"/>
    <w:rsid w:val="2D104627"/>
    <w:rsid w:val="2D5A445D"/>
    <w:rsid w:val="2D6B66E6"/>
    <w:rsid w:val="2D825A1F"/>
    <w:rsid w:val="2D8F55D6"/>
    <w:rsid w:val="2DE06617"/>
    <w:rsid w:val="2DE866C0"/>
    <w:rsid w:val="2E4E643A"/>
    <w:rsid w:val="2E7A04EE"/>
    <w:rsid w:val="2E7E7DAE"/>
    <w:rsid w:val="2E9025B2"/>
    <w:rsid w:val="2EC540EE"/>
    <w:rsid w:val="2ED923B6"/>
    <w:rsid w:val="2EF7205F"/>
    <w:rsid w:val="2F0D7070"/>
    <w:rsid w:val="2F7B222C"/>
    <w:rsid w:val="2FDA232E"/>
    <w:rsid w:val="2FDA5A18"/>
    <w:rsid w:val="2FEA5603"/>
    <w:rsid w:val="30071D11"/>
    <w:rsid w:val="301A5DCD"/>
    <w:rsid w:val="301B0825"/>
    <w:rsid w:val="30424952"/>
    <w:rsid w:val="30473D9F"/>
    <w:rsid w:val="30560C77"/>
    <w:rsid w:val="305E1E14"/>
    <w:rsid w:val="306D0456"/>
    <w:rsid w:val="30732B88"/>
    <w:rsid w:val="30872E52"/>
    <w:rsid w:val="30BE10FC"/>
    <w:rsid w:val="30C74740"/>
    <w:rsid w:val="30CE6945"/>
    <w:rsid w:val="311F248A"/>
    <w:rsid w:val="31304723"/>
    <w:rsid w:val="31626879"/>
    <w:rsid w:val="3183367D"/>
    <w:rsid w:val="319A3548"/>
    <w:rsid w:val="31DC74C4"/>
    <w:rsid w:val="3212499D"/>
    <w:rsid w:val="32343DDF"/>
    <w:rsid w:val="32747406"/>
    <w:rsid w:val="32766A06"/>
    <w:rsid w:val="329F3DDE"/>
    <w:rsid w:val="32B17669"/>
    <w:rsid w:val="32DC5AA9"/>
    <w:rsid w:val="32FC6FCE"/>
    <w:rsid w:val="3364747B"/>
    <w:rsid w:val="33661172"/>
    <w:rsid w:val="336E20A7"/>
    <w:rsid w:val="33704071"/>
    <w:rsid w:val="33EC61A4"/>
    <w:rsid w:val="34322972"/>
    <w:rsid w:val="345309D9"/>
    <w:rsid w:val="34930017"/>
    <w:rsid w:val="34EA6F4D"/>
    <w:rsid w:val="35101F43"/>
    <w:rsid w:val="35310628"/>
    <w:rsid w:val="35446C9F"/>
    <w:rsid w:val="35772060"/>
    <w:rsid w:val="359E01CA"/>
    <w:rsid w:val="36054F45"/>
    <w:rsid w:val="36137470"/>
    <w:rsid w:val="365F4CCA"/>
    <w:rsid w:val="3684373A"/>
    <w:rsid w:val="36BF3845"/>
    <w:rsid w:val="36EE3C2B"/>
    <w:rsid w:val="370F76FD"/>
    <w:rsid w:val="37123819"/>
    <w:rsid w:val="37265CCD"/>
    <w:rsid w:val="37321D6A"/>
    <w:rsid w:val="37367CB7"/>
    <w:rsid w:val="37495DD7"/>
    <w:rsid w:val="37661BAB"/>
    <w:rsid w:val="376712E7"/>
    <w:rsid w:val="37A574BC"/>
    <w:rsid w:val="37E42938"/>
    <w:rsid w:val="37F7493E"/>
    <w:rsid w:val="38765C86"/>
    <w:rsid w:val="38A8605B"/>
    <w:rsid w:val="38BB5D8F"/>
    <w:rsid w:val="391D25A6"/>
    <w:rsid w:val="39303A7B"/>
    <w:rsid w:val="394B73E4"/>
    <w:rsid w:val="39510D4E"/>
    <w:rsid w:val="395A54B7"/>
    <w:rsid w:val="396E1053"/>
    <w:rsid w:val="397B6B45"/>
    <w:rsid w:val="399F15E3"/>
    <w:rsid w:val="3A54022F"/>
    <w:rsid w:val="3A8E35B5"/>
    <w:rsid w:val="3A9C1BB8"/>
    <w:rsid w:val="3AD30819"/>
    <w:rsid w:val="3AEE244B"/>
    <w:rsid w:val="3B163750"/>
    <w:rsid w:val="3B4772CC"/>
    <w:rsid w:val="3B62604B"/>
    <w:rsid w:val="3B653D90"/>
    <w:rsid w:val="3BB67B55"/>
    <w:rsid w:val="3BDF7FE6"/>
    <w:rsid w:val="3C7D493C"/>
    <w:rsid w:val="3CA134EE"/>
    <w:rsid w:val="3CA765F9"/>
    <w:rsid w:val="3CC55D91"/>
    <w:rsid w:val="3CDD5EC7"/>
    <w:rsid w:val="3CE6554F"/>
    <w:rsid w:val="3D066E00"/>
    <w:rsid w:val="3D1073EF"/>
    <w:rsid w:val="3D5B441A"/>
    <w:rsid w:val="3D695DB9"/>
    <w:rsid w:val="3D6D517E"/>
    <w:rsid w:val="3D8C7CFA"/>
    <w:rsid w:val="3DAA4695"/>
    <w:rsid w:val="3DDB0137"/>
    <w:rsid w:val="3DDE7EA3"/>
    <w:rsid w:val="3DFD1C7D"/>
    <w:rsid w:val="3E576F63"/>
    <w:rsid w:val="3E864749"/>
    <w:rsid w:val="3EC84130"/>
    <w:rsid w:val="3EDC6A5F"/>
    <w:rsid w:val="3EE53B65"/>
    <w:rsid w:val="3F0163B3"/>
    <w:rsid w:val="3F047743"/>
    <w:rsid w:val="3F185CE9"/>
    <w:rsid w:val="3F3D656D"/>
    <w:rsid w:val="3F3F621E"/>
    <w:rsid w:val="3F5C40FE"/>
    <w:rsid w:val="3FB672B0"/>
    <w:rsid w:val="3FD06672"/>
    <w:rsid w:val="400105AF"/>
    <w:rsid w:val="40640ABA"/>
    <w:rsid w:val="407A208B"/>
    <w:rsid w:val="408D060C"/>
    <w:rsid w:val="40AD2461"/>
    <w:rsid w:val="40EE3E7E"/>
    <w:rsid w:val="41156A89"/>
    <w:rsid w:val="411C6723"/>
    <w:rsid w:val="418036D2"/>
    <w:rsid w:val="41A24AFA"/>
    <w:rsid w:val="41C619F5"/>
    <w:rsid w:val="41C640F9"/>
    <w:rsid w:val="41DD28D2"/>
    <w:rsid w:val="41E15664"/>
    <w:rsid w:val="41E2260D"/>
    <w:rsid w:val="428202D6"/>
    <w:rsid w:val="42882167"/>
    <w:rsid w:val="429A4C67"/>
    <w:rsid w:val="42DE2DA6"/>
    <w:rsid w:val="433C2844"/>
    <w:rsid w:val="434B12A1"/>
    <w:rsid w:val="43500533"/>
    <w:rsid w:val="4356105B"/>
    <w:rsid w:val="43654385"/>
    <w:rsid w:val="43664B49"/>
    <w:rsid w:val="438E092F"/>
    <w:rsid w:val="43903D02"/>
    <w:rsid w:val="439A528D"/>
    <w:rsid w:val="44221460"/>
    <w:rsid w:val="44231FA6"/>
    <w:rsid w:val="442A5AAE"/>
    <w:rsid w:val="444159CF"/>
    <w:rsid w:val="448C23F3"/>
    <w:rsid w:val="44B139CE"/>
    <w:rsid w:val="44D23AE5"/>
    <w:rsid w:val="44D53D34"/>
    <w:rsid w:val="4500354B"/>
    <w:rsid w:val="451D0E57"/>
    <w:rsid w:val="451D2011"/>
    <w:rsid w:val="453F5652"/>
    <w:rsid w:val="45A33E32"/>
    <w:rsid w:val="45AA3413"/>
    <w:rsid w:val="45CC15DB"/>
    <w:rsid w:val="45D32794"/>
    <w:rsid w:val="45EE2DEC"/>
    <w:rsid w:val="45F14689"/>
    <w:rsid w:val="45F96148"/>
    <w:rsid w:val="4601102B"/>
    <w:rsid w:val="461036EB"/>
    <w:rsid w:val="463352C3"/>
    <w:rsid w:val="4646138E"/>
    <w:rsid w:val="469D2F78"/>
    <w:rsid w:val="46D91711"/>
    <w:rsid w:val="46EE5581"/>
    <w:rsid w:val="47222150"/>
    <w:rsid w:val="473C453F"/>
    <w:rsid w:val="475B6105"/>
    <w:rsid w:val="477B47A8"/>
    <w:rsid w:val="479E5105"/>
    <w:rsid w:val="47AF4671"/>
    <w:rsid w:val="47C80AE3"/>
    <w:rsid w:val="47D01130"/>
    <w:rsid w:val="48102525"/>
    <w:rsid w:val="481B5D92"/>
    <w:rsid w:val="48265822"/>
    <w:rsid w:val="484C4E50"/>
    <w:rsid w:val="486C23FB"/>
    <w:rsid w:val="48CC011E"/>
    <w:rsid w:val="48D10CB7"/>
    <w:rsid w:val="48FF5824"/>
    <w:rsid w:val="49060DC5"/>
    <w:rsid w:val="490E3CB9"/>
    <w:rsid w:val="491D3EFC"/>
    <w:rsid w:val="493A2D00"/>
    <w:rsid w:val="49514DC1"/>
    <w:rsid w:val="496B4C67"/>
    <w:rsid w:val="498434BD"/>
    <w:rsid w:val="49D73576"/>
    <w:rsid w:val="4A0B11F7"/>
    <w:rsid w:val="4A346D01"/>
    <w:rsid w:val="4A742241"/>
    <w:rsid w:val="4A835FE1"/>
    <w:rsid w:val="4AB02A80"/>
    <w:rsid w:val="4ABB577A"/>
    <w:rsid w:val="4AF83094"/>
    <w:rsid w:val="4B2C72E0"/>
    <w:rsid w:val="4B4734B2"/>
    <w:rsid w:val="4B47620D"/>
    <w:rsid w:val="4B877997"/>
    <w:rsid w:val="4B952C62"/>
    <w:rsid w:val="4BA40904"/>
    <w:rsid w:val="4BB01506"/>
    <w:rsid w:val="4BDE3E16"/>
    <w:rsid w:val="4BE15060"/>
    <w:rsid w:val="4BF749EC"/>
    <w:rsid w:val="4C1E06B7"/>
    <w:rsid w:val="4C3677AE"/>
    <w:rsid w:val="4C3C28EB"/>
    <w:rsid w:val="4C883D82"/>
    <w:rsid w:val="4CCE3E46"/>
    <w:rsid w:val="4CED6262"/>
    <w:rsid w:val="4D2056C1"/>
    <w:rsid w:val="4D331F40"/>
    <w:rsid w:val="4D355CB8"/>
    <w:rsid w:val="4D50664E"/>
    <w:rsid w:val="4D5B4FF3"/>
    <w:rsid w:val="4D6F19C0"/>
    <w:rsid w:val="4D7A7B6F"/>
    <w:rsid w:val="4D7E6648"/>
    <w:rsid w:val="4D9B031E"/>
    <w:rsid w:val="4DA62712"/>
    <w:rsid w:val="4DE4323A"/>
    <w:rsid w:val="4E2127BB"/>
    <w:rsid w:val="4E327A58"/>
    <w:rsid w:val="4E45017D"/>
    <w:rsid w:val="4E830CA5"/>
    <w:rsid w:val="4E872543"/>
    <w:rsid w:val="4EA200AD"/>
    <w:rsid w:val="4EE00D0F"/>
    <w:rsid w:val="4EE572EE"/>
    <w:rsid w:val="4EF83441"/>
    <w:rsid w:val="4F99788D"/>
    <w:rsid w:val="4FBC446F"/>
    <w:rsid w:val="4FD10ADB"/>
    <w:rsid w:val="50390119"/>
    <w:rsid w:val="504A7CCC"/>
    <w:rsid w:val="505D7058"/>
    <w:rsid w:val="50BB2978"/>
    <w:rsid w:val="50BC224C"/>
    <w:rsid w:val="50DD6045"/>
    <w:rsid w:val="510E0CFA"/>
    <w:rsid w:val="510F1E1F"/>
    <w:rsid w:val="512241D6"/>
    <w:rsid w:val="513B006C"/>
    <w:rsid w:val="514C35D0"/>
    <w:rsid w:val="51873ED8"/>
    <w:rsid w:val="51EB5226"/>
    <w:rsid w:val="527506C8"/>
    <w:rsid w:val="52754DA9"/>
    <w:rsid w:val="52764DCD"/>
    <w:rsid w:val="529671F9"/>
    <w:rsid w:val="52FD47A3"/>
    <w:rsid w:val="531B5950"/>
    <w:rsid w:val="533644FE"/>
    <w:rsid w:val="536966BB"/>
    <w:rsid w:val="53874D93"/>
    <w:rsid w:val="53D77AC9"/>
    <w:rsid w:val="5406350B"/>
    <w:rsid w:val="543372E6"/>
    <w:rsid w:val="54353C60"/>
    <w:rsid w:val="54D97871"/>
    <w:rsid w:val="5524472E"/>
    <w:rsid w:val="55256612"/>
    <w:rsid w:val="5536081F"/>
    <w:rsid w:val="553920BD"/>
    <w:rsid w:val="555E3956"/>
    <w:rsid w:val="55647052"/>
    <w:rsid w:val="556E7FB9"/>
    <w:rsid w:val="559429E6"/>
    <w:rsid w:val="55D50038"/>
    <w:rsid w:val="55F776C3"/>
    <w:rsid w:val="560146BF"/>
    <w:rsid w:val="561D19BC"/>
    <w:rsid w:val="562763BA"/>
    <w:rsid w:val="563866AF"/>
    <w:rsid w:val="563F60B4"/>
    <w:rsid w:val="56521E57"/>
    <w:rsid w:val="565C42B5"/>
    <w:rsid w:val="56A415B7"/>
    <w:rsid w:val="56C635D8"/>
    <w:rsid w:val="56C84614"/>
    <w:rsid w:val="56D24578"/>
    <w:rsid w:val="56F568B5"/>
    <w:rsid w:val="570E5DBC"/>
    <w:rsid w:val="571702AF"/>
    <w:rsid w:val="572B4CD4"/>
    <w:rsid w:val="575267EE"/>
    <w:rsid w:val="576966DF"/>
    <w:rsid w:val="577E3E83"/>
    <w:rsid w:val="579429DF"/>
    <w:rsid w:val="57C32112"/>
    <w:rsid w:val="57EF1159"/>
    <w:rsid w:val="589E6E07"/>
    <w:rsid w:val="58A17895"/>
    <w:rsid w:val="58C22BA7"/>
    <w:rsid w:val="58D563BF"/>
    <w:rsid w:val="59142A73"/>
    <w:rsid w:val="591E5852"/>
    <w:rsid w:val="59534961"/>
    <w:rsid w:val="59594D77"/>
    <w:rsid w:val="596E36DD"/>
    <w:rsid w:val="596F21A7"/>
    <w:rsid w:val="597D4C6F"/>
    <w:rsid w:val="597E7408"/>
    <w:rsid w:val="599328C7"/>
    <w:rsid w:val="59AA4754"/>
    <w:rsid w:val="59BB60BB"/>
    <w:rsid w:val="59C57D92"/>
    <w:rsid w:val="59FB79D6"/>
    <w:rsid w:val="5A1E1882"/>
    <w:rsid w:val="5A6306C2"/>
    <w:rsid w:val="5A7140A7"/>
    <w:rsid w:val="5A902780"/>
    <w:rsid w:val="5AA4447D"/>
    <w:rsid w:val="5AA956E4"/>
    <w:rsid w:val="5AB52C6E"/>
    <w:rsid w:val="5AE66844"/>
    <w:rsid w:val="5B341639"/>
    <w:rsid w:val="5B4A6DD2"/>
    <w:rsid w:val="5B57329D"/>
    <w:rsid w:val="5B8619FD"/>
    <w:rsid w:val="5B8C5087"/>
    <w:rsid w:val="5B8E1895"/>
    <w:rsid w:val="5BBA6405"/>
    <w:rsid w:val="5BD14DFE"/>
    <w:rsid w:val="5C060FB3"/>
    <w:rsid w:val="5C0E026E"/>
    <w:rsid w:val="5C4A1859"/>
    <w:rsid w:val="5C583AA6"/>
    <w:rsid w:val="5C9122C7"/>
    <w:rsid w:val="5C957123"/>
    <w:rsid w:val="5CA42512"/>
    <w:rsid w:val="5CA6628A"/>
    <w:rsid w:val="5CE62855"/>
    <w:rsid w:val="5CE67C21"/>
    <w:rsid w:val="5CF7477D"/>
    <w:rsid w:val="5D3264E1"/>
    <w:rsid w:val="5D3A4C25"/>
    <w:rsid w:val="5D7C523D"/>
    <w:rsid w:val="5D804D2D"/>
    <w:rsid w:val="5D825803"/>
    <w:rsid w:val="5D883773"/>
    <w:rsid w:val="5DC015CE"/>
    <w:rsid w:val="5DEC21C1"/>
    <w:rsid w:val="5E203E1A"/>
    <w:rsid w:val="5E527AD2"/>
    <w:rsid w:val="5E565A8E"/>
    <w:rsid w:val="5E5F7F5A"/>
    <w:rsid w:val="5EB91C34"/>
    <w:rsid w:val="5F2E6A0B"/>
    <w:rsid w:val="5F385194"/>
    <w:rsid w:val="6006363E"/>
    <w:rsid w:val="60341DFF"/>
    <w:rsid w:val="603E19FB"/>
    <w:rsid w:val="606721D5"/>
    <w:rsid w:val="608A21D4"/>
    <w:rsid w:val="608F34D9"/>
    <w:rsid w:val="609C6C90"/>
    <w:rsid w:val="60AC5E39"/>
    <w:rsid w:val="60CE5DB0"/>
    <w:rsid w:val="60E43825"/>
    <w:rsid w:val="60FE457C"/>
    <w:rsid w:val="6112169D"/>
    <w:rsid w:val="614F151E"/>
    <w:rsid w:val="616C4A02"/>
    <w:rsid w:val="61954B1F"/>
    <w:rsid w:val="61B01959"/>
    <w:rsid w:val="61C67161"/>
    <w:rsid w:val="61E0223F"/>
    <w:rsid w:val="620C4F07"/>
    <w:rsid w:val="622E7666"/>
    <w:rsid w:val="624C383B"/>
    <w:rsid w:val="627E7362"/>
    <w:rsid w:val="628E1212"/>
    <w:rsid w:val="62A019CE"/>
    <w:rsid w:val="62E62402"/>
    <w:rsid w:val="630A5BBD"/>
    <w:rsid w:val="631449FE"/>
    <w:rsid w:val="638A29C9"/>
    <w:rsid w:val="641E704E"/>
    <w:rsid w:val="642F4DB7"/>
    <w:rsid w:val="644E148D"/>
    <w:rsid w:val="64591E34"/>
    <w:rsid w:val="64610CE9"/>
    <w:rsid w:val="64750AFA"/>
    <w:rsid w:val="647A4698"/>
    <w:rsid w:val="64923598"/>
    <w:rsid w:val="64AC465A"/>
    <w:rsid w:val="64C61104"/>
    <w:rsid w:val="651B17E0"/>
    <w:rsid w:val="65406110"/>
    <w:rsid w:val="655D6F80"/>
    <w:rsid w:val="65AE4402"/>
    <w:rsid w:val="65C14135"/>
    <w:rsid w:val="65CD41F4"/>
    <w:rsid w:val="65DD1A17"/>
    <w:rsid w:val="66415276"/>
    <w:rsid w:val="667C4B8E"/>
    <w:rsid w:val="670B7CEB"/>
    <w:rsid w:val="67220C6C"/>
    <w:rsid w:val="673D0ACD"/>
    <w:rsid w:val="67537230"/>
    <w:rsid w:val="675D047E"/>
    <w:rsid w:val="6775489D"/>
    <w:rsid w:val="678D65EE"/>
    <w:rsid w:val="67D55C76"/>
    <w:rsid w:val="68721700"/>
    <w:rsid w:val="688A4CB2"/>
    <w:rsid w:val="68995B41"/>
    <w:rsid w:val="68C2701F"/>
    <w:rsid w:val="696E0FB2"/>
    <w:rsid w:val="69780E10"/>
    <w:rsid w:val="697B45FB"/>
    <w:rsid w:val="69A9608F"/>
    <w:rsid w:val="69F66F81"/>
    <w:rsid w:val="6A3D3FA6"/>
    <w:rsid w:val="6A486BD3"/>
    <w:rsid w:val="6A6509CD"/>
    <w:rsid w:val="6A9C0A00"/>
    <w:rsid w:val="6AAF6C52"/>
    <w:rsid w:val="6ABC136F"/>
    <w:rsid w:val="6AEB0161"/>
    <w:rsid w:val="6AF91C7B"/>
    <w:rsid w:val="6B594E10"/>
    <w:rsid w:val="6B881251"/>
    <w:rsid w:val="6BA3608B"/>
    <w:rsid w:val="6BBB1626"/>
    <w:rsid w:val="6C0178D6"/>
    <w:rsid w:val="6C05211B"/>
    <w:rsid w:val="6C07661A"/>
    <w:rsid w:val="6C1D408F"/>
    <w:rsid w:val="6C344367"/>
    <w:rsid w:val="6C4A0EAE"/>
    <w:rsid w:val="6C950273"/>
    <w:rsid w:val="6C986334"/>
    <w:rsid w:val="6CA4030D"/>
    <w:rsid w:val="6CA420BB"/>
    <w:rsid w:val="6CF07F5B"/>
    <w:rsid w:val="6CF62EDC"/>
    <w:rsid w:val="6D074655"/>
    <w:rsid w:val="6D1B05CF"/>
    <w:rsid w:val="6D3F139D"/>
    <w:rsid w:val="6D7165A7"/>
    <w:rsid w:val="6D763250"/>
    <w:rsid w:val="6D7E0B5E"/>
    <w:rsid w:val="6D8070C4"/>
    <w:rsid w:val="6DD8026E"/>
    <w:rsid w:val="6DDE6F0D"/>
    <w:rsid w:val="6DEF7365"/>
    <w:rsid w:val="6DF10C44"/>
    <w:rsid w:val="6DFE5138"/>
    <w:rsid w:val="6E0C021B"/>
    <w:rsid w:val="6E2F4EDD"/>
    <w:rsid w:val="6E5416F9"/>
    <w:rsid w:val="6E7F17EC"/>
    <w:rsid w:val="6E983DCC"/>
    <w:rsid w:val="6EA13C00"/>
    <w:rsid w:val="6F567256"/>
    <w:rsid w:val="6F6A0AEB"/>
    <w:rsid w:val="6F6F075E"/>
    <w:rsid w:val="6F984159"/>
    <w:rsid w:val="6F9D368A"/>
    <w:rsid w:val="6F9F3CF4"/>
    <w:rsid w:val="6FBE35A8"/>
    <w:rsid w:val="6FE32EFA"/>
    <w:rsid w:val="701A2DBF"/>
    <w:rsid w:val="7026451A"/>
    <w:rsid w:val="70487263"/>
    <w:rsid w:val="7076081A"/>
    <w:rsid w:val="707E6C83"/>
    <w:rsid w:val="7094624E"/>
    <w:rsid w:val="70A95EF1"/>
    <w:rsid w:val="70AE17AD"/>
    <w:rsid w:val="70F25AEA"/>
    <w:rsid w:val="70F42FCF"/>
    <w:rsid w:val="71062461"/>
    <w:rsid w:val="7109556A"/>
    <w:rsid w:val="71267542"/>
    <w:rsid w:val="714A60B5"/>
    <w:rsid w:val="714F6A99"/>
    <w:rsid w:val="718801FD"/>
    <w:rsid w:val="7190176D"/>
    <w:rsid w:val="71EE3A69"/>
    <w:rsid w:val="72451C4A"/>
    <w:rsid w:val="726050B6"/>
    <w:rsid w:val="72AC3A77"/>
    <w:rsid w:val="72E41CA5"/>
    <w:rsid w:val="72E66F89"/>
    <w:rsid w:val="72FC7376"/>
    <w:rsid w:val="73076EFF"/>
    <w:rsid w:val="736D76AA"/>
    <w:rsid w:val="73A62BBC"/>
    <w:rsid w:val="73B549A6"/>
    <w:rsid w:val="73ED64E2"/>
    <w:rsid w:val="74207BD8"/>
    <w:rsid w:val="743E3C4A"/>
    <w:rsid w:val="745B3786"/>
    <w:rsid w:val="745E5245"/>
    <w:rsid w:val="74704F19"/>
    <w:rsid w:val="74827185"/>
    <w:rsid w:val="748661C0"/>
    <w:rsid w:val="749B5C86"/>
    <w:rsid w:val="74BD01BD"/>
    <w:rsid w:val="74ED269D"/>
    <w:rsid w:val="74F17E67"/>
    <w:rsid w:val="74F94C5F"/>
    <w:rsid w:val="75287E4E"/>
    <w:rsid w:val="75575F1C"/>
    <w:rsid w:val="75656237"/>
    <w:rsid w:val="757D4D9B"/>
    <w:rsid w:val="759E3B4B"/>
    <w:rsid w:val="75A241B6"/>
    <w:rsid w:val="75AE172A"/>
    <w:rsid w:val="75B15FA4"/>
    <w:rsid w:val="75B35B93"/>
    <w:rsid w:val="75DD74BC"/>
    <w:rsid w:val="75E65786"/>
    <w:rsid w:val="761E4C8C"/>
    <w:rsid w:val="76202F8E"/>
    <w:rsid w:val="769211D6"/>
    <w:rsid w:val="769767EC"/>
    <w:rsid w:val="769A6217"/>
    <w:rsid w:val="76BB697E"/>
    <w:rsid w:val="76D96E05"/>
    <w:rsid w:val="774353DC"/>
    <w:rsid w:val="776E1DB2"/>
    <w:rsid w:val="7771226C"/>
    <w:rsid w:val="77C66DF3"/>
    <w:rsid w:val="7817317E"/>
    <w:rsid w:val="782D3D0B"/>
    <w:rsid w:val="7885648D"/>
    <w:rsid w:val="78917997"/>
    <w:rsid w:val="78B67C13"/>
    <w:rsid w:val="78EE3B3A"/>
    <w:rsid w:val="78F543CA"/>
    <w:rsid w:val="791B3704"/>
    <w:rsid w:val="7925117C"/>
    <w:rsid w:val="792C3B64"/>
    <w:rsid w:val="79607369"/>
    <w:rsid w:val="796C2BD8"/>
    <w:rsid w:val="798A2EAF"/>
    <w:rsid w:val="79B002F1"/>
    <w:rsid w:val="79C3066B"/>
    <w:rsid w:val="79D7762B"/>
    <w:rsid w:val="79DC0F2B"/>
    <w:rsid w:val="7A24483B"/>
    <w:rsid w:val="7A511B1E"/>
    <w:rsid w:val="7A643075"/>
    <w:rsid w:val="7A995A34"/>
    <w:rsid w:val="7AA864AE"/>
    <w:rsid w:val="7AEE7323"/>
    <w:rsid w:val="7AF169F9"/>
    <w:rsid w:val="7B017E0B"/>
    <w:rsid w:val="7B1972A4"/>
    <w:rsid w:val="7B454143"/>
    <w:rsid w:val="7B802A7C"/>
    <w:rsid w:val="7BAD0F8C"/>
    <w:rsid w:val="7BCD0AE7"/>
    <w:rsid w:val="7BE81FC4"/>
    <w:rsid w:val="7BF42EE8"/>
    <w:rsid w:val="7C1A44EB"/>
    <w:rsid w:val="7C2917B6"/>
    <w:rsid w:val="7C605FFE"/>
    <w:rsid w:val="7C743857"/>
    <w:rsid w:val="7CC10027"/>
    <w:rsid w:val="7D084270"/>
    <w:rsid w:val="7D1D4579"/>
    <w:rsid w:val="7D2F142F"/>
    <w:rsid w:val="7D436E87"/>
    <w:rsid w:val="7D4C6582"/>
    <w:rsid w:val="7D52785B"/>
    <w:rsid w:val="7D90323E"/>
    <w:rsid w:val="7D910D10"/>
    <w:rsid w:val="7DFD787D"/>
    <w:rsid w:val="7E01736D"/>
    <w:rsid w:val="7E2D0162"/>
    <w:rsid w:val="7E4516D8"/>
    <w:rsid w:val="7E941F8F"/>
    <w:rsid w:val="7E9F67E9"/>
    <w:rsid w:val="7EBE0C9D"/>
    <w:rsid w:val="7EF26CB5"/>
    <w:rsid w:val="7FF07699"/>
    <w:rsid w:val="7F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360" w:lineRule="auto"/>
      <w:ind w:firstLine="0"/>
      <w:jc w:val="left"/>
      <w:outlineLvl w:val="0"/>
    </w:pPr>
    <w:rPr>
      <w:rFonts w:ascii="黑体" w:hAnsi="黑体" w:eastAsia="黑体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0"/>
      <w:jc w:val="left"/>
      <w:outlineLvl w:val="1"/>
    </w:pPr>
    <w:rPr>
      <w:rFonts w:ascii="黑体" w:hAnsi="黑体" w:eastAsia="黑体"/>
      <w:b/>
    </w:rPr>
  </w:style>
  <w:style w:type="paragraph" w:styleId="4">
    <w:name w:val="heading 3"/>
    <w:basedOn w:val="1"/>
    <w:next w:val="1"/>
    <w:link w:val="23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240" w:lineRule="auto"/>
      <w:jc w:val="left"/>
      <w:outlineLvl w:val="2"/>
    </w:pPr>
    <w:rPr>
      <w:rFonts w:ascii="宋体" w:hAnsi="宋体"/>
      <w:b/>
    </w:rPr>
  </w:style>
  <w:style w:type="paragraph" w:styleId="5">
    <w:name w:val="heading 4"/>
    <w:basedOn w:val="1"/>
    <w:next w:val="1"/>
    <w:link w:val="24"/>
    <w:unhideWhenUsed/>
    <w:qFormat/>
    <w:uiPriority w:val="0"/>
    <w:pPr>
      <w:keepNext/>
      <w:keepLines/>
      <w:numPr>
        <w:ilvl w:val="2"/>
        <w:numId w:val="2"/>
      </w:numPr>
      <w:spacing w:before="280" w:beforeLines="0" w:beforeAutospacing="0" w:after="290" w:afterLines="0" w:afterAutospacing="0" w:line="240" w:lineRule="auto"/>
      <w:ind w:left="0" w:leftChars="100" w:firstLine="402"/>
      <w:outlineLvl w:val="3"/>
    </w:pPr>
    <w:rPr>
      <w:rFonts w:ascii="宋体" w:hAnsi="宋体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12">
    <w:name w:val="toc 3"/>
    <w:basedOn w:val="1"/>
    <w:next w:val="1"/>
    <w:qFormat/>
    <w:uiPriority w:val="0"/>
    <w:pPr>
      <w:ind w:left="840" w:leftChars="4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Hyperlink"/>
    <w:basedOn w:val="20"/>
    <w:qFormat/>
    <w:uiPriority w:val="0"/>
    <w:rPr>
      <w:color w:val="0000FF"/>
      <w:u w:val="single"/>
    </w:rPr>
  </w:style>
  <w:style w:type="character" w:customStyle="1" w:styleId="23">
    <w:name w:val="标题 3 Char"/>
    <w:link w:val="4"/>
    <w:qFormat/>
    <w:uiPriority w:val="0"/>
    <w:rPr>
      <w:rFonts w:ascii="宋体" w:hAnsi="宋体" w:eastAsia="宋体"/>
      <w:b/>
      <w:sz w:val="24"/>
    </w:rPr>
  </w:style>
  <w:style w:type="character" w:customStyle="1" w:styleId="24">
    <w:name w:val="标题 4 Char"/>
    <w:link w:val="5"/>
    <w:qFormat/>
    <w:uiPriority w:val="0"/>
    <w:rPr>
      <w:rFonts w:ascii="宋体" w:hAnsi="宋体" w:eastAsia="宋体"/>
      <w:b/>
    </w:rPr>
  </w:style>
  <w:style w:type="paragraph" w:customStyle="1" w:styleId="25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6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7">
    <w:name w:val="WPSOffice手动目录 3"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  <w:style w:type="character" w:customStyle="1" w:styleId="28">
    <w:name w:val="fontstyle01"/>
    <w:basedOn w:val="20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29">
    <w:name w:val="fontstyle21"/>
    <w:basedOn w:val="20"/>
    <w:qFormat/>
    <w:uiPriority w:val="0"/>
    <w:rPr>
      <w:rFonts w:hint="eastAsia"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4493</Words>
  <Characters>6711</Characters>
  <Lines>0</Lines>
  <Paragraphs>0</Paragraphs>
  <TotalTime>1</TotalTime>
  <ScaleCrop>false</ScaleCrop>
  <LinksUpToDate>false</LinksUpToDate>
  <CharactersWithSpaces>7512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2021-11-03T02:50:00Z</dcterms:created>
  <dc:creator>rickliu</dc:creator>
  <cp:lastModifiedBy>诺卡</cp:lastModifiedBy>
  <dcterms:modified xsi:type="dcterms:W3CDTF">2023-01-11T03:12:42Z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ACA0EF0B374C4951B8E0F9787CBCB6D3</vt:lpwstr>
  </property>
</Properties>
</file>