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908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kern w:val="0"/>
              <w:sz w:val="15"/>
              <w:szCs w:val="15"/>
              <w:u w:val="none"/>
            </w:rPr>
          </w:pPr>
          <w:r>
            <w:rPr>
              <w:rFonts w:ascii="宋体" w:hAnsi="宋体" w:eastAsia="宋体" w:cs="宋体"/>
              <w:sz w:val="24"/>
              <w:szCs w:val="24"/>
            </w:rPr>
            <w:drawing>
              <wp:inline distT="0" distB="0" distL="114300" distR="114300">
                <wp:extent cx="3448050" cy="1183005"/>
                <wp:effectExtent l="0" t="0" r="0" b="17145"/>
                <wp:docPr id="2" name="图片 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IMG_25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1183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bidi w:val="0"/>
            <w:jc w:val="center"/>
            <w:rPr>
              <w:rFonts w:hint="eastAsia" w:ascii="微软雅黑" w:hAnsi="微软雅黑" w:eastAsia="微软雅黑" w:cs="微软雅黑"/>
              <w:sz w:val="72"/>
              <w:szCs w:val="72"/>
              <w:lang w:val="en-US" w:eastAsia="zh-CN"/>
            </w:rPr>
          </w:pPr>
          <w:bookmarkStart w:id="0" w:name="_Toc32459"/>
          <w:r>
            <w:rPr>
              <w:rFonts w:hint="eastAsia" w:ascii="微软雅黑" w:hAnsi="微软雅黑" w:eastAsia="微软雅黑" w:cs="微软雅黑"/>
              <w:sz w:val="72"/>
              <w:szCs w:val="72"/>
            </w:rPr>
            <w:t>WE-UB1MC0</w:t>
          </w:r>
          <w:r>
            <w:rPr>
              <w:rFonts w:hint="eastAsia" w:ascii="微软雅黑" w:hAnsi="微软雅黑" w:eastAsia="微软雅黑" w:cs="微软雅黑"/>
              <w:sz w:val="72"/>
              <w:szCs w:val="72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  <w:sz w:val="72"/>
              <w:szCs w:val="72"/>
            </w:rPr>
            <w:t>-01</w:t>
          </w:r>
        </w:p>
        <w:p>
          <w:pPr>
            <w:bidi w:val="0"/>
            <w:jc w:val="center"/>
            <w:rPr>
              <w:rFonts w:hint="eastAsia" w:ascii="微软雅黑" w:hAnsi="微软雅黑" w:eastAsia="微软雅黑" w:cs="微软雅黑"/>
              <w:sz w:val="36"/>
              <w:szCs w:val="36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sz w:val="36"/>
              <w:szCs w:val="36"/>
              <w:lang w:val="en-US" w:eastAsia="zh-CN"/>
            </w:rPr>
            <w:t>UWB模块用户手册</w:t>
          </w:r>
          <w:bookmarkEnd w:id="0"/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default" w:ascii="ËÎÌå" w:hAnsi="ËÎÌå" w:cs="ËÎÌå"/>
              <w:kern w:val="0"/>
              <w:sz w:val="21"/>
              <w:szCs w:val="21"/>
              <w:u w:val="single"/>
              <w:lang w:val="en-US" w:eastAsia="zh-CN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宋体"/>
              <w:color w:val="2E75B6" w:themeColor="accent1" w:themeShade="BF"/>
              <w:sz w:val="36"/>
              <w:szCs w:val="36"/>
            </w:rPr>
          </w:pPr>
          <w:r>
            <w:rPr>
              <w:rFonts w:hint="eastAsia" w:ascii="宋体" w:hAnsi="宋体" w:cs="宋体"/>
              <w:color w:val="2E75B6" w:themeColor="accent1" w:themeShade="BF"/>
              <w:sz w:val="36"/>
              <w:szCs w:val="36"/>
              <w:lang w:val="en-US" w:eastAsia="zh-CN"/>
            </w:rPr>
            <w:t>完全</w:t>
          </w:r>
          <w:r>
            <w:rPr>
              <w:rFonts w:ascii="宋体" w:hAnsi="宋体" w:eastAsia="宋体" w:cs="宋体"/>
              <w:color w:val="2E75B6" w:themeColor="accent1" w:themeShade="BF"/>
              <w:sz w:val="36"/>
              <w:szCs w:val="36"/>
            </w:rPr>
            <w:t>兼容DWM1000封装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宋体" w:hAnsi="宋体" w:eastAsia="宋体" w:cs="宋体"/>
              <w:color w:val="auto"/>
              <w:sz w:val="36"/>
              <w:szCs w:val="36"/>
              <w:lang w:val="en-US" w:eastAsia="zh-CN"/>
            </w:rPr>
          </w:pPr>
          <w:r>
            <w:rPr>
              <w:rFonts w:hint="eastAsia" w:ascii="宋体" w:hAnsi="宋体" w:cs="宋体"/>
              <w:color w:val="auto"/>
              <w:sz w:val="36"/>
              <w:szCs w:val="36"/>
              <w:lang w:val="en-US" w:eastAsia="zh-CN"/>
            </w:rPr>
            <w:t>V1.0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right"/>
            <w:rPr>
              <w:rFonts w:hint="eastAsia" w:ascii="宋体" w:hAnsi="宋体" w:eastAsia="宋体" w:cs="宋体"/>
              <w:color w:val="0000FF"/>
              <w:sz w:val="36"/>
              <w:szCs w:val="36"/>
              <w:lang w:eastAsia="zh-CN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right"/>
            <w:rPr>
              <w:rFonts w:hint="eastAsia" w:ascii="宋体" w:hAnsi="宋体" w:eastAsia="宋体" w:cs="宋体"/>
              <w:color w:val="0000FF"/>
              <w:sz w:val="28"/>
              <w:szCs w:val="28"/>
              <w:lang w:eastAsia="zh-CN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hint="eastAsia" w:ascii="ËÎÌå" w:hAnsi="ËÎÌå" w:cs="ËÎÌå"/>
              <w:kern w:val="0"/>
              <w:sz w:val="21"/>
              <w:szCs w:val="21"/>
              <w:u w:val="single"/>
              <w:lang w:val="en-US" w:eastAsia="zh-CN"/>
            </w:rPr>
            <w:sectPr>
              <w:headerReference r:id="rId5" w:type="default"/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hint="eastAsia" w:ascii="微软雅黑" w:hAnsi="微软雅黑" w:eastAsia="微软雅黑" w:cs="微软雅黑"/>
              <w:color w:val="2E75B6" w:themeColor="accent1" w:themeShade="BF"/>
              <w:sz w:val="30"/>
              <w:szCs w:val="30"/>
            </w:rPr>
          </w:pPr>
          <w:r>
            <w:rPr>
              <w:rFonts w:hint="eastAsia" w:ascii="微软雅黑" w:hAnsi="微软雅黑" w:eastAsia="微软雅黑" w:cs="微软雅黑"/>
              <w:color w:val="2E75B6" w:themeColor="accent1" w:themeShade="BF"/>
              <w:sz w:val="30"/>
              <w:szCs w:val="30"/>
            </w:rPr>
            <w:t>目录</w:t>
          </w:r>
          <w:bookmarkStart w:id="24" w:name="_GoBack"/>
          <w:bookmarkEnd w:id="24"/>
        </w:p>
        <w:p>
          <w:pPr>
            <w:pStyle w:val="1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000000" w:themeColor="text1"/>
              <w:sz w:val="15"/>
              <w:szCs w:val="15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000000" w:themeColor="text1"/>
              <w:sz w:val="15"/>
              <w:szCs w:val="15"/>
              <w14:textFill>
                <w14:solidFill>
                  <w14:schemeClr w14:val="tx1"/>
                </w14:solidFill>
              </w14:textFill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color w:val="000000" w:themeColor="text1"/>
              <w:sz w:val="15"/>
              <w:szCs w:val="15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_Toc16989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一、 驱动UWB模块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_Toc16989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_Toc25330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 xml:space="preserve">（一） </w: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auto"/>
              <w:spacing w:val="0"/>
              <w:sz w:val="15"/>
              <w:szCs w:val="15"/>
              <w:shd w:val="clear" w:fill="FFFFFF"/>
            </w:rPr>
            <w:t>UWB</w: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auto"/>
              <w:spacing w:val="0"/>
              <w:sz w:val="15"/>
              <w:szCs w:val="15"/>
              <w:shd w:val="clear" w:fill="FFFFFF"/>
              <w:lang w:val="en-US" w:eastAsia="zh-CN"/>
            </w:rPr>
            <w:t>模块供电启动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_Toc25330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_Toc17475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（二） SPI主机接口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_Toc17475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2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_Toc20626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 xml:space="preserve">（三） 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引脚定义及复用功能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_Toc20626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6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_Toc28307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二、 电气特性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_Toc28307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10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_Toc4282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kern w:val="2"/>
              <w:sz w:val="15"/>
              <w:szCs w:val="15"/>
              <w:lang w:val="en-US" w:eastAsia="zh-CN" w:bidi="ar-SA"/>
            </w:rPr>
            <w:t xml:space="preserve">（一） 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额定工作条件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_Toc4282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10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_Toc9972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（二） 直流特性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_Toc9972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10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_Toc23204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（三） 接收交流特性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_Toc23204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11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_Toc22312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（四） 接收机灵敏度特性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_Toc22312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12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_Toc27348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 xml:space="preserve">（五） 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参考时钟交流特性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_Toc27348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12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_Toc25692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（六） 发射交流特性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_Toc25692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13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_Toc10635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 xml:space="preserve">（七） 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温度和电压检测特性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_Toc10635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13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_Toc5717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（八） 极限值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_Toc5717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14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_Toc26086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三、 封装特性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_Toc26086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14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_Toc5273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四、 WE-UB1MC02-01电路图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_Toc5273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15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_Toc21183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（一） WE-UB1MC02-01模块电路图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_Toc21183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15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_Toc4673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（二） WE-UB1MC02-01模块与单片机连接示例图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_Toc4673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16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_Toc7116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lang w:val="en-US" w:eastAsia="zh-CN"/>
            </w:rPr>
            <w:t>五、 应用场景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_Toc7116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_Toc17702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（一） UWB应用场景——电力巡检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_Toc17702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_Toc23703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（二） UWB应用场景——仓储物流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_Toc23703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_Toc27510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（三） UWB应用场景——历史轨迹查询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_Toc27510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_Toc20538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（四） UWB应用场景——一键紧急求助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_Toc20538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HYPERLINK \l _Toc31480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  <w:vertAlign w:val="baseline"/>
              <w:lang w:val="en-US" w:eastAsia="zh-CN"/>
            </w:rPr>
            <w:t>（五） UWB应用场景——智慧工地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ab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instrText xml:space="preserve"> PAGEREF _Toc31480 \h </w:instrTex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t>17</w:t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  <w:r>
            <w:rPr>
              <w:rFonts w:hint="eastAsia" w:ascii="微软雅黑" w:hAnsi="微软雅黑" w:eastAsia="微软雅黑" w:cs="微软雅黑"/>
              <w:color w:val="auto"/>
              <w:sz w:val="15"/>
              <w:szCs w:val="15"/>
            </w:rPr>
            <w:fldChar w:fldCharType="end"/>
          </w:r>
        </w:p>
        <w:p>
          <w:p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微软雅黑" w:hAnsi="微软雅黑" w:eastAsia="微软雅黑" w:cs="微软雅黑"/>
              <w:color w:val="000000" w:themeColor="text1"/>
              <w:szCs w:val="15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46430" cy="1124585"/>
            <wp:effectExtent l="0" t="0" r="0" b="0"/>
            <wp:wrapTight wrapText="bothSides">
              <wp:wrapPolygon>
                <wp:start x="0" y="0"/>
                <wp:lineTo x="0" y="21222"/>
                <wp:lineTo x="21006" y="21222"/>
                <wp:lineTo x="21006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WE-UB1MC02-01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2E75B6" w:themeColor="accent1" w:themeShade="B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sz w:val="21"/>
          <w:szCs w:val="21"/>
          <w:lang w:val="en-US" w:eastAsia="zh-CN"/>
        </w:rPr>
        <w:t>厘米级高精度、低功耗、高安全、低成本定位的UWB无线射频模块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15"/>
          <w:szCs w:val="15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WE-UB1MC02-01模块是海南世电基于Qorvo公司的DW1000芯片设计的无线射频模块，此模块集成了UWB通信所需的所有外围电路，如射频电路，电源管理以及时钟电路，无需额外电路，使用MCU连接引脚即可使用</w:t>
      </w:r>
      <w:r>
        <w:rPr>
          <w:rFonts w:hint="eastAsia" w:ascii="微软雅黑" w:hAnsi="微软雅黑" w:eastAsia="微软雅黑" w:cs="微软雅黑"/>
          <w:sz w:val="15"/>
          <w:szCs w:val="15"/>
        </w:rPr>
        <w:t>。符合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IEEE802.15.4-2011超宽带标准。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此模块集成了一颗38.4MHZ的高精度晶振，测量距离为厘米级精度。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15"/>
          <w:szCs w:val="15"/>
        </w:rPr>
        <w:t>在UWB模块中，可以通过单独的VDDAON来为AON存储器供电，从而保存在低功耗模式下的配置数据。可以通过设置使UWB模块上传数据到AON存储中当模块进入低功耗工作模式下的时候，而当模块恢复正常运行时，从AON存储中下载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UWB模块由一个56×32位的用户使用的一次性可编程存储器，该存储器用来存放每个芯片的校准信息。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DWM模块有多个中断事件，这些事件配置为驱动中断请求引脚。这些中断请求引脚默认为低电平。并且多个状态寄存器可以用来检测运行的状态。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sz w:val="15"/>
          <w:szCs w:val="15"/>
          <w:lang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模块包含了多个检测校验功能，包括CRC产生，CRC校验，和接收帧过滤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Style w:val="29"/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片上的电压和温度检测器可以被主设备所读取。主设备可以读取 VDDAON 引脚的电压和</w:t>
      </w:r>
      <w:r>
        <w:rPr>
          <w:rStyle w:val="28"/>
          <w:rFonts w:hint="eastAsia" w:ascii="微软雅黑" w:hAnsi="微软雅黑" w:eastAsia="微软雅黑" w:cs="微软雅黑"/>
          <w:sz w:val="15"/>
          <w:szCs w:val="15"/>
        </w:rPr>
        <w:t xml:space="preserve">UWB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</w:rPr>
        <w:t>模块内部的核心温度信息。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Style w:val="29"/>
          <w:rFonts w:hint="eastAsia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更多详细信息请查阅DW1000的数据手册及用户手册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fldChar w:fldCharType="begin"/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instrText xml:space="preserve"> HYPERLINK "https://www.qorvo.com/products/p/DW1000" \l "documents" </w:instrTex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fldChar w:fldCharType="separate"/>
      </w:r>
      <w:r>
        <w:rPr>
          <w:rStyle w:val="22"/>
          <w:rFonts w:hint="eastAsia" w:ascii="微软雅黑" w:hAnsi="微软雅黑" w:eastAsia="微软雅黑" w:cs="微软雅黑"/>
          <w:b w:val="0"/>
          <w:bCs w:val="0"/>
          <w:i w:val="0"/>
          <w:iCs w:val="0"/>
          <w:color w:val="2E75B6" w:themeColor="accent1" w:themeShade="BF"/>
          <w:sz w:val="15"/>
          <w:szCs w:val="15"/>
          <w:lang w:val="en-US" w:eastAsia="zh-CN"/>
        </w:rPr>
        <w:t>https://www.qorvo.com/products/p/DW1000#documents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29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29"/>
          <w:rFonts w:hint="default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color w:val="2E75B6" w:themeColor="accent1" w:themeShade="BF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15"/>
          <w:szCs w:val="15"/>
          <w:lang w:val="en-US" w:eastAsia="zh-CN"/>
        </w:rPr>
        <w:t>主要特征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符合IEEE802.15.4-2011超宽带标准；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基于Qorvo公司DW1000芯片设计的超宽带测距定位模块；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封装及接口完全兼容DWM1000；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供电电压为2.8V - 3.6V；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WE-UB1MC02-01模块的数据传输110kbps,850kbps,6.8Mbps三种模式可选；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最大数据包长度为1023字节，满足高数据量通信的应用需求；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➯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通信接口为SPI；</w:t>
      </w:r>
    </w:p>
    <w:p>
      <w:pPr>
        <w:rPr>
          <w:rFonts w:hint="default" w:ascii="宋体" w:hAnsi="宋体" w:cs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equalWidth="0" w:num="2">
            <w:col w:w="5040" w:space="425"/>
            <w:col w:w="2841"/>
          </w:cols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1" w:name="_Toc16989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驱动UWB模块</w:t>
      </w:r>
      <w:bookmarkEnd w:id="1"/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2" w:name="_Toc25330"/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24"/>
          <w:szCs w:val="24"/>
          <w:shd w:val="clear" w:fill="FFFFFF"/>
        </w:rPr>
        <w:t>UWB</w:t>
      </w:r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24"/>
          <w:szCs w:val="24"/>
          <w:shd w:val="clear" w:fill="FFFFFF"/>
          <w:lang w:val="en-US" w:eastAsia="zh-CN"/>
        </w:rPr>
        <w:t>模块供电启动</w:t>
      </w:r>
      <w:bookmarkEnd w:id="2"/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4482465" cy="1950085"/>
            <wp:effectExtent l="0" t="0" r="13335" b="12065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kern w:val="2"/>
          <w:sz w:val="15"/>
          <w:szCs w:val="15"/>
          <w:lang w:val="en-US" w:eastAsia="zh-CN" w:bidi="ar-SA"/>
        </w:rPr>
        <w:t>UWB模块上电时序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  <w:lang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模块启动时，当设备开始供电的时候，RST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n被内部的集成电路拉到低电平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,如图所示，</w:t>
      </w:r>
      <w:r>
        <w:rPr>
          <w:rFonts w:hint="eastAsia" w:ascii="微软雅黑" w:hAnsi="微软雅黑" w:eastAsia="微软雅黑" w:cs="微软雅黑"/>
          <w:sz w:val="15"/>
          <w:szCs w:val="15"/>
        </w:rPr>
        <w:t>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n会一直保持低电平，直到模块上的晶振启动，并且当晶振的输出可以被所以模块上的其他设备使用时，RST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n转为高电平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11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：DW1000 供电时间</w:t>
      </w:r>
    </w:p>
    <w:tbl>
      <w:tblPr>
        <w:tblStyle w:val="19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04"/>
        <w:gridCol w:w="898"/>
        <w:gridCol w:w="89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0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570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正常值</w:t>
            </w:r>
          </w:p>
        </w:tc>
        <w:tc>
          <w:tcPr>
            <w:tcW w:w="70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FFFF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ON</w:t>
            </w:r>
          </w:p>
        </w:tc>
        <w:tc>
          <w:tcPr>
            <w:tcW w:w="570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启动的最小电压</w:t>
            </w:r>
          </w:p>
        </w:tc>
        <w:tc>
          <w:tcPr>
            <w:tcW w:w="89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EXT_ON</w:t>
            </w:r>
          </w:p>
        </w:tc>
        <w:tc>
          <w:tcPr>
            <w:tcW w:w="5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RST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n被拉到低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平到EXTON转为高电平的时间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0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DIG_ON</w:t>
            </w:r>
          </w:p>
        </w:tc>
        <w:tc>
          <w:tcPr>
            <w:tcW w:w="5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通过内部或外部重置电路需维持RST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n为低电平的时间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9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当系统启动时，RST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n可以被用来作为输出去重置外部电路。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模块上的一个外部的电路可以用最少10ns去重置该模块。RST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n是一个异步输入。当该引脚被转为高电平时，DW1000开始初始化。注意RST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n不可以被外部电路驱动。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关于UWB模块上电时序的更多详细信息请查阅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[5.6 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Power-up sequence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] 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3" w:name="_Toc17475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SPI主机接口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DW1000上的通讯接口为SPI，且DW1000只能为从机。DW1000支持SPI通讯的时钟极性和时钟相位。该通讯协议支持单个或者多个字节的读写操作。所有字节都是按高位(MSB)到低位(LSB)的顺序传输。当SPI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CS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sz w:val="15"/>
          <w:szCs w:val="15"/>
        </w:rPr>
        <w:t>n被设置为低电平时，开始传输数据，被设置为高电平时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5"/>
          <w:szCs w:val="15"/>
        </w:rPr>
        <w:t>终止通讯。</w:t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5266690" cy="2221865"/>
            <wp:effectExtent l="0" t="0" r="10160" b="698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color w:val="2E75B6" w:themeColor="accent1" w:themeShade="BF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DW1000 SPI_PHA=0时传输协议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190750"/>
            <wp:effectExtent l="0" t="0" r="8255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/>
          <w:color w:val="2E75B6" w:themeColor="accent1" w:themeShade="BF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DW1000 SPI_PHA=1时传输协议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1340485"/>
            <wp:effectExtent l="0" t="0" r="10795" b="1206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4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DW1000 SPI时序图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72710" cy="2082165"/>
            <wp:effectExtent l="0" t="0" r="8890" b="1333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DW1000 SPI详细时序图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表2/3:DW1000 SPI时序参数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@表2）DW1000模块125M的系统时钟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@表3）DW1000模块19.2M的系统时钟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UWB模块SPI参数@125MHz</w:t>
      </w:r>
    </w:p>
    <w:tbl>
      <w:tblPr>
        <w:tblStyle w:val="19"/>
        <w:tblpPr w:leftFromText="180" w:rightFromText="180" w:vertAnchor="text" w:horzAnchor="page" w:tblpXSpec="center" w:tblpY="387"/>
        <w:tblOverlap w:val="never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43"/>
        <w:gridCol w:w="711"/>
        <w:gridCol w:w="899"/>
        <w:gridCol w:w="671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描述@125MHz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SPI_CLK SPI周期</w:t>
            </w:r>
          </w:p>
        </w:tc>
        <w:tc>
          <w:tcPr>
            <w:tcW w:w="74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71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当CLKPLL被使能时，SPI的时钟频率为20MHZ，否则最大为3MHZ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t1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片选信号SPICSn被拉低到从机开始发送数据的时间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SPICLK被拉低到从机开始发送数据的时间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3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主机数据设置时间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主机数据保持时间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5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一个信号的LSB到下一个信号的MSB的时间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6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CS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n解除高电平状态到SPI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MISO三态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7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启动时间，从片选使能后到第一个SPICLK为低的时间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8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连续通讯时的空闲时间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1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9</w:t>
            </w:r>
          </w:p>
        </w:tc>
        <w:tc>
          <w:tcPr>
            <w:tcW w:w="7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7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8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6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6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最后一个SPI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CLK到SPI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CS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n失效的时间</w:t>
            </w:r>
          </w:p>
        </w:tc>
      </w:tr>
    </w:tbl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UWB模块SPI参数@19.2MHz</w:t>
      </w:r>
    </w:p>
    <w:tbl>
      <w:tblPr>
        <w:tblStyle w:val="19"/>
        <w:tblpPr w:leftFromText="180" w:rightFromText="180" w:vertAnchor="text" w:horzAnchor="page" w:tblpXSpec="center" w:tblpY="387"/>
        <w:tblOverlap w:val="never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83"/>
        <w:gridCol w:w="782"/>
        <w:gridCol w:w="971"/>
        <w:gridCol w:w="702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描述@19.2MHz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SPI_CLK SPI周期</w:t>
            </w:r>
          </w:p>
        </w:tc>
        <w:tc>
          <w:tcPr>
            <w:tcW w:w="78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300</w:t>
            </w:r>
          </w:p>
        </w:tc>
        <w:tc>
          <w:tcPr>
            <w:tcW w:w="78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当CLKPLL被使能时，SPI的时钟频率为20MHZ，否则最大为3MHZ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210</w:t>
            </w: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片选信号SPICSn被拉低到从机开始发送数据的时间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SPICLK被拉低到从机开始发送数据的时间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主机数据设置时间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主机数据保持时间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205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一个信号的LSB到下一个信号的MSB的时间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CS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n解除高电平状态到SPI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MISO三态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7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105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启动时间，从片选使能后到第一个SPICLK为低的时间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8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250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连续通讯时的空闲时间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subscript"/>
                <w:lang w:val="en-US" w:eastAsia="zh-CN"/>
              </w:rPr>
              <w:t>9</w:t>
            </w:r>
          </w:p>
        </w:tc>
        <w:tc>
          <w:tcPr>
            <w:tcW w:w="78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250</w:t>
            </w:r>
          </w:p>
        </w:tc>
        <w:tc>
          <w:tcPr>
            <w:tcW w:w="78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</w:p>
        </w:tc>
        <w:tc>
          <w:tcPr>
            <w:tcW w:w="7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ns</w:t>
            </w:r>
          </w:p>
        </w:tc>
        <w:tc>
          <w:tcPr>
            <w:tcW w:w="4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最后一个SPI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CLK到SPI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CS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n失效的时间</w:t>
            </w:r>
          </w:p>
        </w:tc>
      </w:tr>
    </w:tbl>
    <w:p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关于SPI接口的更多详细信息请查阅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[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5.8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Host Controller Interface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] </w:t>
      </w:r>
    </w:p>
    <w:p>
      <w:pPr>
        <w:pStyle w:val="3"/>
        <w:bidi w:val="0"/>
      </w:pPr>
      <w:bookmarkStart w:id="4" w:name="_Toc20626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引脚定义及复用功能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</w:pPr>
      <w:r>
        <w:drawing>
          <wp:inline distT="0" distB="0" distL="114300" distR="114300">
            <wp:extent cx="1957070" cy="2618740"/>
            <wp:effectExtent l="0" t="0" r="508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6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UWB引脚图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UWB模块提供8个可配置的引脚。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默认状态下，上电之后所有的GPIO引脚被配置为输入引脚</w:t>
      </w:r>
      <w:r>
        <w:rPr>
          <w:rFonts w:hint="eastAsia" w:ascii="微软雅黑" w:hAnsi="微软雅黑" w:eastAsia="微软雅黑" w:cs="微软雅黑"/>
          <w:sz w:val="15"/>
          <w:szCs w:val="15"/>
        </w:rPr>
        <w:t>。当经过相应的配置后，这些引脚可以通过中断请求信号向主机产生中断。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GPIO0、1、2、3可以用来做其他功能。这些引脚可以驱动模块上的多个LED，来显示模块此时不同的工作状态。所有用来驱动LED的GPIO应该按照提示进行连接。GPIO5和GPIO6可以用来配置SPI的操作模式。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</w:pPr>
      <w:r>
        <w:drawing>
          <wp:inline distT="0" distB="0" distL="114300" distR="114300">
            <wp:extent cx="2068830" cy="1769745"/>
            <wp:effectExtent l="0" t="0" r="7620" b="1905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7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GPIO驱动LED</w:t>
      </w:r>
    </w:p>
    <w:p>
      <w:pPr>
        <w:rPr>
          <w:rFonts w:hint="eastAsia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4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UWB模块引脚功能</w:t>
      </w:r>
    </w:p>
    <w:tbl>
      <w:tblPr>
        <w:tblStyle w:val="19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44"/>
        <w:gridCol w:w="1196"/>
        <w:gridCol w:w="182"/>
        <w:gridCol w:w="250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信号名称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I/O（默认）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78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数字接口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4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SPI_CLK</w:t>
            </w:r>
          </w:p>
        </w:tc>
        <w:tc>
          <w:tcPr>
            <w:tcW w:w="74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37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</w:t>
            </w:r>
          </w:p>
        </w:tc>
        <w:tc>
          <w:tcPr>
            <w:tcW w:w="4911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SPI时钟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SPI_MISO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19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DO(O-L)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SPI数据输出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SPI_MOSI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18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SPI数据输入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SPI_CS_n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标志SPI传输开始。当DW1000处于休眠或者深度休眠状态时，SPI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CS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n也可以作为DW1000唤醒信号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WAKEUP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当需要激活高速状态时，WAKEUP可以将DW1000从深度休眠或者休眠中唤醒，进入到工作状态；如果没有用到这个脚，这个引脚接地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EXTON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DO(O-L)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控制外部使能电路，sleep模式下，进一步减少功耗(VDDLDOA、VDDLDOD电源关断)如DCDC电源使能脚，即正常模式下，该引脚有效。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信号名称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I/O（默认）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IRQ/GPIO8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22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DIO(O-L)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DW1000中断请求信号（对主芯片），IRQ引脚默认输入时高电平，如果需要可以配置成低电平。当SLEEP或者DEEPSLEEP状态，应该配置成高电压激活工作，当DW1000进入SLEEP或者DEEPSLEEP状态，如果没有拉低，该引脚可能浮动并且引起不确定状态，如果IRQ功能没有使用，GPIO8应该配置成通用IO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SYNC/GPIO7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默认为SYNC输入，该引脚可以被重新配置为通用I/O。SYNC输入引脚用于外部同步引脚GPIO7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SPI_PHA/GPIO6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上电后，作为SPIPHA（SPI相位选择）引脚用于配置SPI的工作模式，在上电后，该引脚可以配置成通用IO口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SPI_POL/GPIO5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上电后，作为SPIPOL（SPI极性选择）引脚用于配置SPI的工作模式，在上电后，该引脚可以配置成通用IO口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GPIO4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通用IO口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TXLED/GPIO3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可以配置成TXLED的驱动引脚，在发送模式用于点亮LED灯。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RXLED/GPIO2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可以配置成RXLED的驱动引脚，在接收模式用于点亮LED灯。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SFDLED/GPIO1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可以配置成SFDLED 的驱动引脚，当接收器找到SFD(起始帧分界符)点亮LED灯。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RXOKLED/GPIO0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DIO(I)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通用IO口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可以配置成RXOKLED的驱动引脚，当接收器接收完成数据帧点亮LED灯。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RST_n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DIO(O-H)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复位引脚，激活低电压输出由漏极开路驱动器拉低来重置DW1000.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信号名称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I/O（默认）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引脚描述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8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VDDAON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外部供电引脚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VDD3V3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6,7</w:t>
            </w:r>
          </w:p>
        </w:tc>
        <w:tc>
          <w:tcPr>
            <w:tcW w:w="137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</w:t>
            </w:r>
          </w:p>
        </w:tc>
        <w:tc>
          <w:tcPr>
            <w:tcW w:w="491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3.3V供电引脚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注意:如果编程OTP，这个电压要上调到3.8V，之后恢复3.3V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8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8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GND</w:t>
            </w:r>
          </w:p>
        </w:tc>
        <w:tc>
          <w:tcPr>
            <w:tcW w:w="194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8,16,21,22,23,24</w:t>
            </w:r>
          </w:p>
        </w:tc>
        <w:tc>
          <w:tcPr>
            <w:tcW w:w="4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</w:t>
            </w:r>
          </w:p>
        </w:tc>
        <w:tc>
          <w:tcPr>
            <w:tcW w:w="46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地</w:t>
            </w:r>
          </w:p>
        </w:tc>
      </w:tr>
    </w:tbl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缩写解释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15"/>
                <w:szCs w:val="15"/>
                <w:vertAlign w:val="baseline"/>
                <w:lang w:val="en-US" w:eastAsia="zh-CN"/>
              </w:rPr>
              <w:t>缩写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15"/>
                <w:szCs w:val="15"/>
                <w:vertAlign w:val="baseline"/>
                <w:lang w:val="en-US" w:eastAsia="zh-CN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I</w:t>
            </w:r>
          </w:p>
        </w:tc>
        <w:tc>
          <w:tcPr>
            <w:tcW w:w="426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IO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输入/输出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O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PD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电源去耦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O-L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默认为输出，复位后为低电平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O-H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默认为输出，复位后为高电平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I</w:t>
            </w:r>
          </w:p>
        </w:tc>
        <w:tc>
          <w:tcPr>
            <w:tcW w:w="426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默认输入引脚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注意:任何信号带有后缀'n'，表明是个低电平使能信号</w:t>
            </w:r>
          </w:p>
        </w:tc>
      </w:tr>
    </w:tbl>
    <w:p>
      <w:pP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>
      <w:pPr>
        <w:rPr>
          <w:rFonts w:hint="eastAsia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关于SPI接口的更多详细信息请查阅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[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5.8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Pin Descriptions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5" w:name="_Toc28307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电气特性</w:t>
      </w:r>
      <w:bookmarkEnd w:id="5"/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bookmarkStart w:id="6" w:name="_Toc4282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额定工作条件</w:t>
      </w:r>
      <w:bookmarkEnd w:id="6"/>
    </w:p>
    <w:tbl>
      <w:tblPr>
        <w:tblStyle w:val="19"/>
        <w:tblpPr w:leftFromText="180" w:rightFromText="180" w:vertAnchor="text" w:horzAnchor="page" w:tblpX="1814" w:tblpY="196"/>
        <w:tblOverlap w:val="never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955"/>
        <w:gridCol w:w="978"/>
        <w:gridCol w:w="1000"/>
        <w:gridCol w:w="74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95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0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30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9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-40</w:t>
            </w:r>
          </w:p>
        </w:tc>
        <w:tc>
          <w:tcPr>
            <w:tcW w:w="97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+85</w:t>
            </w:r>
          </w:p>
        </w:tc>
        <w:tc>
          <w:tcPr>
            <w:tcW w:w="74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℃</w:t>
            </w:r>
          </w:p>
        </w:tc>
        <w:tc>
          <w:tcPr>
            <w:tcW w:w="30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电源电压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VDDAON,VDD3V3</w:t>
            </w:r>
          </w:p>
        </w:tc>
        <w:tc>
          <w:tcPr>
            <w:tcW w:w="9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2.8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3.3</w:t>
            </w:r>
          </w:p>
        </w:tc>
        <w:tc>
          <w:tcPr>
            <w:tcW w:w="1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3.6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3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OTP编程电压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VDD3V3</w:t>
            </w:r>
          </w:p>
        </w:tc>
        <w:tc>
          <w:tcPr>
            <w:tcW w:w="9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3.7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3.8</w:t>
            </w:r>
          </w:p>
        </w:tc>
        <w:tc>
          <w:tcPr>
            <w:tcW w:w="1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3.9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3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TOP编程是VDD3V3电压必须短时间加到3.8V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GPIO[0-7]，WAKEUP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RST_n，SPI_CS_n，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SPI_MOSI，SPI_CLK</w:t>
            </w:r>
          </w:p>
        </w:tc>
        <w:tc>
          <w:tcPr>
            <w:tcW w:w="9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3.6</w:t>
            </w:r>
          </w:p>
        </w:tc>
        <w:tc>
          <w:tcPr>
            <w:tcW w:w="7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30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3.6Ｖ可以应用于这些引脚</w:t>
            </w:r>
          </w:p>
        </w:tc>
      </w:tr>
    </w:tbl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8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UWB模块操作条件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注：设计时保证模组在这些范围内运行</w:t>
      </w:r>
    </w:p>
    <w:p>
      <w:pPr>
        <w:rPr>
          <w:rFonts w:hint="eastAsia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关于额定工作条件的更多详细信息请查阅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[3.1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Nominal Operating Conditions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] </w:t>
      </w:r>
    </w:p>
    <w:p>
      <w:pPr>
        <w:pStyle w:val="3"/>
        <w:bidi w:val="0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bookmarkStart w:id="7" w:name="_Toc9972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直流特性</w:t>
      </w:r>
      <w:bookmarkEnd w:id="7"/>
    </w:p>
    <w:p>
      <w:pP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在25</w:t>
      </w:r>
      <w: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  <w:t>℃下的典型值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9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UWB模块直流特性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4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7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深度睡眠电流</w:t>
            </w:r>
          </w:p>
        </w:tc>
        <w:tc>
          <w:tcPr>
            <w:tcW w:w="11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200</w:t>
            </w: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421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总电流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睡眠电流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550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nA</w:t>
            </w:r>
          </w:p>
        </w:tc>
        <w:tc>
          <w:tcPr>
            <w:tcW w:w="142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空闲模式电流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13.4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mA</w:t>
            </w:r>
          </w:p>
        </w:tc>
        <w:tc>
          <w:tcPr>
            <w:tcW w:w="142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初始化电流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3.5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mA</w:t>
            </w:r>
          </w:p>
        </w:tc>
        <w:tc>
          <w:tcPr>
            <w:tcW w:w="1421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ＴＸ驱动能力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140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mA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ＲＸ驱动能力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160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mA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通道５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最小值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典型值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最大值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70C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输入数字信号高电平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0.7*VDD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输入数字信号低电平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0.3*VDD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输出数字信号高电平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0.7*VDD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500Ω负载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输出数字低电平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0.3VDD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500Ω负载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GPIO,IRQ,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SPIMOSI,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EXTON输出驱动电流</w:t>
            </w: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8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mA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vertAlign w:val="baseline"/>
          <w:lang w:val="en-US" w:eastAsia="zh-CN"/>
        </w:rPr>
      </w:pPr>
    </w:p>
    <w:p>
      <w:pPr>
        <w:rPr>
          <w:rFonts w:hint="default" w:ascii="宋体" w:hAnsi="宋体" w:cs="宋体"/>
          <w:vertAlign w:val="baseline"/>
          <w:lang w:val="en-US" w:eastAsia="zh-CN"/>
        </w:rPr>
      </w:pPr>
    </w:p>
    <w:p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关于直流特性的更多详细信息请查阅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[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3.2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DC Characteristics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] </w:t>
      </w:r>
    </w:p>
    <w:p>
      <w:pPr>
        <w:rPr>
          <w:rFonts w:hint="eastAsia" w:ascii="宋体" w:hAnsi="宋体" w:cs="宋体"/>
          <w:vertAlign w:val="baseline"/>
          <w:lang w:val="en-US" w:eastAsia="zh-CN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8" w:name="_Toc23204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接收交流特性</w:t>
      </w:r>
      <w:bookmarkEnd w:id="8"/>
    </w:p>
    <w:p>
      <w:pP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  <w:t>在25℃下的标称值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10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UWB模块接收的交流特性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94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9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频率范围</w:t>
            </w:r>
          </w:p>
        </w:tc>
        <w:tc>
          <w:tcPr>
            <w:tcW w:w="9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3244</w:t>
            </w: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6999</w:t>
            </w:r>
          </w:p>
        </w:tc>
        <w:tc>
          <w:tcPr>
            <w:tcW w:w="142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MHZ</w:t>
            </w:r>
          </w:p>
        </w:tc>
        <w:tc>
          <w:tcPr>
            <w:tcW w:w="142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信道带宽</w:t>
            </w:r>
          </w:p>
        </w:tc>
        <w:tc>
          <w:tcPr>
            <w:tcW w:w="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500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MHZ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频带内阻塞水平</w:t>
            </w:r>
          </w:p>
        </w:tc>
        <w:tc>
          <w:tcPr>
            <w:tcW w:w="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dBc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连续波干扰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频带外阻塞水平</w:t>
            </w:r>
          </w:p>
        </w:tc>
        <w:tc>
          <w:tcPr>
            <w:tcW w:w="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dBc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连续波干扰</w:t>
            </w:r>
          </w:p>
        </w:tc>
      </w:tr>
    </w:tbl>
    <w:p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关于直流特性的更多详细信息请查阅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[3.3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Receiver AC Characteristics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]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9" w:name="_Toc22312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接收机灵敏度特性</w:t>
      </w:r>
      <w:bookmarkEnd w:id="9"/>
    </w:p>
    <w:p>
      <w:pPr>
        <w:rPr>
          <w:rFonts w:hint="eastAsia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  <w:t>以下数据是在25℃下，20字节有效载荷，0dBi天线增益下的特性来得到表11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11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UWB模块的接收灵敏度特性典型值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84"/>
        <w:gridCol w:w="912"/>
        <w:gridCol w:w="1700"/>
        <w:gridCol w:w="1489"/>
        <w:gridCol w:w="11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包错误率</w:t>
            </w: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数据速率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接收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灵敏度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3944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1%</w:t>
            </w:r>
          </w:p>
        </w:tc>
        <w:tc>
          <w:tcPr>
            <w:tcW w:w="108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110kbps</w:t>
            </w:r>
          </w:p>
        </w:tc>
        <w:tc>
          <w:tcPr>
            <w:tcW w:w="91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-102</w:t>
            </w:r>
          </w:p>
        </w:tc>
        <w:tc>
          <w:tcPr>
            <w:tcW w:w="17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引导码2048</w:t>
            </w:r>
          </w:p>
        </w:tc>
        <w:tc>
          <w:tcPr>
            <w:tcW w:w="1144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  <w:t>载体频率偏移±10ppm</w:t>
            </w:r>
          </w:p>
        </w:tc>
        <w:tc>
          <w:tcPr>
            <w:tcW w:w="1311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所有测量据上基于第2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道，16MHz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850kbps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-101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引导码1024</w:t>
            </w:r>
          </w:p>
        </w:tc>
        <w:tc>
          <w:tcPr>
            <w:tcW w:w="1144" w:type="dxa"/>
            <w:vMerge w:val="continue"/>
          </w:tcPr>
          <w:p>
            <w:pPr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6.8Mbps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-93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引导码256</w:t>
            </w:r>
          </w:p>
        </w:tc>
        <w:tc>
          <w:tcPr>
            <w:tcW w:w="1144" w:type="dxa"/>
            <w:vMerge w:val="continue"/>
          </w:tcPr>
          <w:p>
            <w:pPr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Merge w:val="continue"/>
          </w:tcPr>
          <w:p>
            <w:pPr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10%</w:t>
            </w: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110kbps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-102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引导码2048</w:t>
            </w:r>
          </w:p>
        </w:tc>
        <w:tc>
          <w:tcPr>
            <w:tcW w:w="1144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850kbps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-101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引导码1024</w:t>
            </w:r>
          </w:p>
        </w:tc>
        <w:tc>
          <w:tcPr>
            <w:tcW w:w="1144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6.8Mbps</w:t>
            </w:r>
          </w:p>
        </w:tc>
        <w:tc>
          <w:tcPr>
            <w:tcW w:w="9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-93</w:t>
            </w:r>
          </w:p>
        </w:tc>
        <w:tc>
          <w:tcPr>
            <w:tcW w:w="17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dBm/500MHz</w:t>
            </w:r>
          </w:p>
        </w:tc>
        <w:tc>
          <w:tcPr>
            <w:tcW w:w="14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引导码256</w:t>
            </w:r>
          </w:p>
        </w:tc>
        <w:tc>
          <w:tcPr>
            <w:tcW w:w="1144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1" w:type="dxa"/>
            <w:vMerge w:val="continue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关于直流特性的更多详细信息请查阅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[3.4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Receiver Sensitivity Characteristics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] </w:t>
      </w:r>
    </w:p>
    <w:p>
      <w:pP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0" w:name="_Toc27348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参考时钟交流特性</w:t>
      </w:r>
      <w:bookmarkEnd w:id="10"/>
    </w:p>
    <w:p>
      <w:pP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  <w:t>25℃下的典型值</w:t>
      </w:r>
    </w:p>
    <w:p>
      <w:pPr>
        <w:rPr>
          <w:rFonts w:hint="eastAsia" w:ascii="微软雅黑" w:hAnsi="微软雅黑" w:eastAsia="微软雅黑" w:cs="微软雅黑"/>
          <w:sz w:val="15"/>
          <w:szCs w:val="15"/>
          <w:vertAlign w:val="baseline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12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UWB模块参考时钟的交流特性</w:t>
      </w:r>
    </w:p>
    <w:tbl>
      <w:tblPr>
        <w:tblStyle w:val="19"/>
        <w:tblpPr w:leftFromText="180" w:rightFromText="180" w:vertAnchor="text" w:horzAnchor="page" w:tblpX="1417" w:tblpY="316"/>
        <w:tblOverlap w:val="never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233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板载晶振参考频率</w:t>
            </w: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38.4</w:t>
            </w:r>
          </w:p>
        </w:tc>
        <w:tc>
          <w:tcPr>
            <w:tcW w:w="14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MHz</w:t>
            </w:r>
          </w:p>
        </w:tc>
        <w:tc>
          <w:tcPr>
            <w:tcW w:w="233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板载晶振微调范围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±25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ppm</w:t>
            </w:r>
          </w:p>
        </w:tc>
        <w:tc>
          <w:tcPr>
            <w:tcW w:w="233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内部调整到+/-2ppm的典型条件下16MHz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板载晶振热稳定性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±30*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ppm</w:t>
            </w:r>
          </w:p>
        </w:tc>
        <w:tc>
          <w:tcPr>
            <w:tcW w:w="233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-40℃ - ±85℃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板载晶振老化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低功率RC振荡器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KHz</w:t>
            </w:r>
          </w:p>
        </w:tc>
        <w:tc>
          <w:tcPr>
            <w:tcW w:w="233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*使用 UWB 模块 DW1000 芯片的温度监控功能模块可以削减晶体在运行时动态维护+/-2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15"/>
          <w:szCs w:val="15"/>
        </w:rPr>
        <w:t>ppm规范在全温度范围内操作。</w:t>
      </w:r>
    </w:p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关于时钟交流特性的更多详细信息请查阅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[3.5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Reference Clock AC Characteristics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] 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11" w:name="_Toc25692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发射交流特性</w:t>
      </w:r>
      <w:bookmarkEnd w:id="11"/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13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UWB模块发射交流特性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033"/>
        <w:gridCol w:w="1467"/>
        <w:gridCol w:w="1067"/>
        <w:gridCol w:w="116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7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频率范围</w:t>
            </w:r>
          </w:p>
        </w:tc>
        <w:tc>
          <w:tcPr>
            <w:tcW w:w="10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3244</w:t>
            </w:r>
          </w:p>
        </w:tc>
        <w:tc>
          <w:tcPr>
            <w:tcW w:w="14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6999</w:t>
            </w:r>
          </w:p>
        </w:tc>
        <w:tc>
          <w:tcPr>
            <w:tcW w:w="116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MHz</w:t>
            </w:r>
          </w:p>
        </w:tc>
        <w:tc>
          <w:tcPr>
            <w:tcW w:w="121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信道带宽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500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MHz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信道1，2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输出功率谱密度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-23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dBm/MHz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电平范围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37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粗功率级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精细功率级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0.5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输出功率与温度关系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0.05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dB/℃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输出功率与电压关系</w:t>
            </w:r>
          </w:p>
        </w:tc>
        <w:tc>
          <w:tcPr>
            <w:tcW w:w="10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2.73</w:t>
            </w:r>
          </w:p>
        </w:tc>
        <w:tc>
          <w:tcPr>
            <w:tcW w:w="10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dB/V</w:t>
            </w:r>
          </w:p>
        </w:tc>
        <w:tc>
          <w:tcPr>
            <w:tcW w:w="121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信道2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关于发射交流特性的更多详细信息请查阅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[3.6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Transmitter AC Characteristics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]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2" w:name="_Toc10635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温度和电压检测特性</w:t>
      </w:r>
      <w:bookmarkEnd w:id="12"/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14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UWB模块温度和电压监视器的特性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577"/>
        <w:gridCol w:w="1267"/>
        <w:gridCol w:w="1356"/>
        <w:gridCol w:w="122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26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典型值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222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4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电压监控范围</w:t>
            </w:r>
          </w:p>
        </w:tc>
        <w:tc>
          <w:tcPr>
            <w:tcW w:w="157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2.4</w:t>
            </w:r>
          </w:p>
        </w:tc>
        <w:tc>
          <w:tcPr>
            <w:tcW w:w="12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3.75</w:t>
            </w:r>
          </w:p>
        </w:tc>
        <w:tc>
          <w:tcPr>
            <w:tcW w:w="122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  <w:tc>
          <w:tcPr>
            <w:tcW w:w="11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电压检测精密度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mV</w:t>
            </w:r>
          </w:p>
        </w:tc>
        <w:tc>
          <w:tcPr>
            <w:tcW w:w="11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电压检测精确度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140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mV</w:t>
            </w:r>
          </w:p>
        </w:tc>
        <w:tc>
          <w:tcPr>
            <w:tcW w:w="11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温度监控范围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-40</w:t>
            </w:r>
          </w:p>
        </w:tc>
        <w:tc>
          <w:tcPr>
            <w:tcW w:w="12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+100</w:t>
            </w:r>
          </w:p>
        </w:tc>
        <w:tc>
          <w:tcPr>
            <w:tcW w:w="12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℃</w:t>
            </w:r>
          </w:p>
        </w:tc>
        <w:tc>
          <w:tcPr>
            <w:tcW w:w="11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温度检测精度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0.9</w:t>
            </w:r>
          </w:p>
        </w:tc>
        <w:tc>
          <w:tcPr>
            <w:tcW w:w="13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℃</w:t>
            </w:r>
          </w:p>
        </w:tc>
        <w:tc>
          <w:tcPr>
            <w:tcW w:w="11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关于发射交流特性的更多详细信息请查阅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[3.7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Temperature and Voltage Monitor Characteristics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]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13" w:name="_Toc5717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极限值</w:t>
      </w:r>
      <w:bookmarkEnd w:id="13"/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15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UWB模块绝对最大额定值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9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参数</w:t>
            </w:r>
          </w:p>
        </w:tc>
        <w:tc>
          <w:tcPr>
            <w:tcW w:w="179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最小值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最大值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电压VDD3V3/VDDAON</w:t>
            </w:r>
          </w:p>
        </w:tc>
        <w:tc>
          <w:tcPr>
            <w:tcW w:w="179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-0.3</w:t>
            </w:r>
          </w:p>
        </w:tc>
        <w:tc>
          <w:tcPr>
            <w:tcW w:w="21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4.0</w:t>
            </w:r>
          </w:p>
        </w:tc>
        <w:tc>
          <w:tcPr>
            <w:tcW w:w="21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接收功率</w:t>
            </w:r>
          </w:p>
        </w:tc>
        <w:tc>
          <w:tcPr>
            <w:tcW w:w="17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温度-储存温度</w:t>
            </w:r>
          </w:p>
        </w:tc>
        <w:tc>
          <w:tcPr>
            <w:tcW w:w="17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+85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温度-工作温度</w:t>
            </w:r>
          </w:p>
        </w:tc>
        <w:tc>
          <w:tcPr>
            <w:tcW w:w="17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-40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+85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静电放电（人体模型）</w:t>
            </w:r>
          </w:p>
        </w:tc>
        <w:tc>
          <w:tcPr>
            <w:tcW w:w="17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2000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vertAlign w:val="baseline"/>
                <w:lang w:val="en-US" w:eastAsia="zh-CN"/>
              </w:rPr>
              <w:t>V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关于发射交流特性的更多详细信息请查阅 ）</w:t>
      </w:r>
      <w:r>
        <w:rPr>
          <w:rStyle w:val="29"/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  <w:t>DW1000 Datasheet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[3.8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>Absolute Maximum Ratings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color w:val="2E75B6" w:themeColor="accent1" w:themeShade="BF"/>
          <w:sz w:val="15"/>
          <w:szCs w:val="15"/>
          <w:lang w:val="en-US" w:eastAsia="zh-CN"/>
        </w:rPr>
        <w:t xml:space="preserve"> </w:t>
      </w:r>
      <w:r>
        <w:rPr>
          <w:rStyle w:val="29"/>
          <w:rFonts w:hint="eastAsia" w:ascii="微软雅黑" w:hAnsi="微软雅黑" w:eastAsia="微软雅黑" w:cs="微软雅黑"/>
          <w:sz w:val="15"/>
          <w:szCs w:val="15"/>
          <w:lang w:val="en-US" w:eastAsia="zh-CN"/>
        </w:rPr>
        <w:t>]</w:t>
      </w:r>
    </w:p>
    <w:p>
      <w:pPr>
        <w:rPr>
          <w:rFonts w:hint="default" w:ascii="宋体" w:hAnsi="宋体" w:cs="宋体"/>
          <w:vertAlign w:val="baseline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14" w:name="_Toc26086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封装特性</w:t>
      </w:r>
      <w:bookmarkEnd w:id="14"/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表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表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16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WE-UB1MC02-01封装特性</w:t>
      </w:r>
    </w:p>
    <w:tbl>
      <w:tblPr>
        <w:tblStyle w:val="19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4926" w:type="dxa"/>
            <w:shd w:val="clear" w:color="auto" w:fill="9CC2E5" w:themeFill="accent1" w:themeFillTint="99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WE-UB1MC0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实物图</w:t>
            </w:r>
          </w:p>
        </w:tc>
        <w:tc>
          <w:tcPr>
            <w:tcW w:w="4926" w:type="dxa"/>
            <w:shd w:val="clear" w:color="auto" w:fill="9CC2E5" w:themeFill="accent1" w:themeFillTint="99"/>
          </w:tcPr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2280285" cy="1285875"/>
                  <wp:effectExtent l="0" t="0" r="571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模组尺寸图（单位：mm）</w:t>
            </w:r>
          </w:p>
        </w:tc>
        <w:tc>
          <w:tcPr>
            <w:tcW w:w="4926" w:type="dxa"/>
            <w:shd w:val="clear" w:color="auto" w:fill="9CC2E5" w:themeFill="accent1" w:themeFillTint="99"/>
          </w:tcPr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2217420" cy="2250440"/>
                  <wp:effectExtent l="0" t="0" r="16510" b="1143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742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15" w:name="_Toc5273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WE-UB1MC02-01电路图</w:t>
      </w:r>
      <w:bookmarkEnd w:id="15"/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16" w:name="_Toc21183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WE-UB1MC02-01模块电路图</w:t>
      </w:r>
      <w:bookmarkEnd w:id="16"/>
    </w:p>
    <w:p>
      <w:pPr>
        <w:jc w:val="center"/>
      </w:pPr>
      <w:r>
        <w:drawing>
          <wp:inline distT="0" distB="0" distL="114300" distR="114300">
            <wp:extent cx="3804285" cy="2259965"/>
            <wp:effectExtent l="0" t="0" r="571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9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WE-UB1MC02-01模块电路图</w:t>
      </w: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17" w:name="_Toc4673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WE-UB1MC02-01模块与单片机连接示例图</w:t>
      </w:r>
      <w:bookmarkEnd w:id="17"/>
    </w:p>
    <w:p>
      <w:r>
        <w:drawing>
          <wp:inline distT="0" distB="0" distL="114300" distR="114300">
            <wp:extent cx="5273040" cy="2278380"/>
            <wp:effectExtent l="0" t="0" r="3810" b="7620"/>
            <wp:docPr id="8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10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实际项目WE-UB1MC02-01模块外部电路图</w:t>
      </w:r>
    </w:p>
    <w:p>
      <w:r>
        <w:drawing>
          <wp:inline distT="0" distB="0" distL="114300" distR="114300">
            <wp:extent cx="5269865" cy="4311015"/>
            <wp:effectExtent l="0" t="0" r="6985" b="13335"/>
            <wp:docPr id="8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图 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instrText xml:space="preserve"> SEQ 图 \* ARABIC </w:instrTex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>11</w:t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color w:val="2E75B6" w:themeColor="accent1" w:themeShade="BF"/>
          <w:kern w:val="2"/>
          <w:sz w:val="15"/>
          <w:szCs w:val="15"/>
          <w:lang w:val="en-US" w:eastAsia="zh-CN" w:bidi="ar-SA"/>
        </w:rPr>
        <w:t xml:space="preserve"> 实际项目单片机与WE-UB1MC02-01连接的引脚图</w:t>
      </w:r>
    </w:p>
    <w:p>
      <w:pPr>
        <w:pStyle w:val="2"/>
        <w:bidi w:val="0"/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</w:pPr>
      <w:bookmarkStart w:id="18" w:name="_Toc7116"/>
      <w:r>
        <w:rPr>
          <w:rFonts w:hint="eastAsia" w:ascii="微软雅黑" w:hAnsi="微软雅黑" w:eastAsia="微软雅黑" w:cs="微软雅黑"/>
          <w:color w:val="2E75B6" w:themeColor="accent1" w:themeShade="BF"/>
          <w:lang w:val="en-US" w:eastAsia="zh-CN"/>
        </w:rPr>
        <w:t>应用场景</w:t>
      </w:r>
      <w:bookmarkEnd w:id="18"/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19" w:name="_Toc17702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UWB应用场景——电力巡检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  <w:lang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电厂人员定位管理系统可以弥补人为疏忽，大大降低人为风险，保障工作人员的安全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5"/>
          <w:szCs w:val="15"/>
        </w:rPr>
        <w:t>实时管理工作人员、来访人员、安保人员，通过员工佩戴卡式定位标签，外来人员登记身份临时发胸卡标签，安保人员佩戴肩夹式标签，可对各类人员的位置信息进行实时管理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20" w:name="_Toc23703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UWB应用场景——仓储物流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  <w:lang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仓储物流定位解决方案采用自主研发的高精度定位系统，通过在物流园区布设基站，大范围覆盖，对园区人员、车辆、叉车等进行实时精确定位，系统精度高达厘米级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21" w:name="_Toc27510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UWB应用场景——历史轨迹查询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基于UWB超宽带定位技术，可随时查看被定位目标在某一时段的历史轨迹，在后台实现直观的回放，比如查看不同工种人员的上岗/离岗时间、在某区域的停留时间等数据，一旦发生突发情况，可通过历史轨迹查询来实现事件追溯。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22" w:name="_Toc20538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UWB应用场景——一键紧急求助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以电厂人员定位项目中实际应用来说，当厂区某处发生危险时，人员第一时间撤离至关重要。通过在人员随身佩戴的定位卡片上集成“一键求助”功能，当遇到灾情或危险可及时预警；相关人员可依据预警信息获知其位置，便于及时施救。</w:t>
      </w:r>
    </w:p>
    <w:p>
      <w:pPr>
        <w:pStyle w:val="3"/>
        <w:bidi w:val="0"/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</w:pPr>
      <w:bookmarkStart w:id="23" w:name="_Toc31480"/>
      <w:r>
        <w:rPr>
          <w:rFonts w:hint="eastAsia" w:ascii="微软雅黑" w:hAnsi="微软雅黑" w:eastAsia="微软雅黑" w:cs="微软雅黑"/>
          <w:color w:val="2E75B6" w:themeColor="accent1" w:themeShade="BF"/>
          <w:vertAlign w:val="baseline"/>
          <w:lang w:val="en-US" w:eastAsia="zh-CN"/>
        </w:rPr>
        <w:t>UWB应用场景——智慧工地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围绕建筑工地现场的“人、机、料、法、环”五大要素，采用先进的实时定位技术，在提高施工现场管理水平的同时，为项目相关各方构建一个沟通协调、信息共享的平台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1F4E79" w:themeColor="accent1" w:themeShade="80"/>
        <w:kern w:val="0"/>
        <w:sz w:val="15"/>
        <w:szCs w:val="15"/>
        <w:u w:val="single"/>
        <w:lang w:val="en-US" w:eastAsia="zh-CN"/>
      </w:rPr>
      <w:t>UWB模组</w:t>
    </w:r>
    <w:r>
      <w:rPr>
        <w:rFonts w:hint="eastAsia" w:ascii="微软雅黑" w:hAnsi="微软雅黑" w:eastAsia="微软雅黑" w:cs="微软雅黑"/>
        <w:b/>
        <w:bCs/>
        <w:color w:val="1F4E79" w:themeColor="accent1" w:themeShade="80"/>
        <w:sz w:val="15"/>
        <w:szCs w:val="15"/>
        <w:u w:val="single"/>
      </w:rPr>
      <w:t>WE-UB1MC</w:t>
    </w:r>
    <w:r>
      <w:rPr>
        <w:rFonts w:hint="eastAsia" w:ascii="微软雅黑" w:hAnsi="微软雅黑" w:eastAsia="微软雅黑" w:cs="微软雅黑"/>
        <w:b/>
        <w:bCs/>
        <w:color w:val="1F4E79" w:themeColor="accent1" w:themeShade="80"/>
        <w:sz w:val="15"/>
        <w:szCs w:val="15"/>
        <w:u w:val="single"/>
        <w:lang w:val="en-US" w:eastAsia="zh-CN"/>
      </w:rPr>
      <w:t>02</w:t>
    </w:r>
    <w:r>
      <w:rPr>
        <w:rFonts w:hint="eastAsia" w:ascii="微软雅黑" w:hAnsi="微软雅黑" w:eastAsia="微软雅黑" w:cs="微软雅黑"/>
        <w:b/>
        <w:bCs/>
        <w:color w:val="1F4E79" w:themeColor="accent1" w:themeShade="80"/>
        <w:sz w:val="15"/>
        <w:szCs w:val="15"/>
        <w:u w:val="single"/>
      </w:rPr>
      <w:t>-01</w:t>
    </w:r>
    <w:r>
      <w:rPr>
        <w:rFonts w:hint="eastAsia" w:ascii="微软雅黑" w:hAnsi="微软雅黑" w:eastAsia="微软雅黑" w:cs="微软雅黑"/>
        <w:b/>
        <w:bCs/>
        <w:color w:val="1F4E79" w:themeColor="accent1" w:themeShade="80"/>
        <w:sz w:val="15"/>
        <w:szCs w:val="15"/>
        <w:u w:val="single"/>
        <w:lang w:val="en-US" w:eastAsia="zh-CN"/>
      </w:rPr>
      <w:t>用户手册V1.0</w:t>
    </w:r>
    <w:r>
      <w:rPr>
        <w:rFonts w:hint="eastAsia" w:ascii="微软雅黑" w:hAnsi="微软雅黑" w:eastAsia="微软雅黑" w:cs="微软雅黑"/>
        <w:sz w:val="15"/>
        <w:szCs w:val="15"/>
        <w:u w:val="single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</w:rPr>
      <w:t xml:space="preserve">           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</w:rPr>
      <w:t xml:space="preserve"> 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</w:rPr>
      <w:t xml:space="preserve">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ab/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ab/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ab/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ab/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</w:rPr>
      <w:drawing>
        <wp:inline distT="0" distB="0" distL="114300" distR="114300">
          <wp:extent cx="648970" cy="222250"/>
          <wp:effectExtent l="0" t="0" r="17780" b="6350"/>
          <wp:docPr id="14" name="图片 8" descr="海南世电_默认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8" descr="海南世电_默认3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97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</w:rPr>
      <w:t xml:space="preserve">             </w:t>
    </w:r>
    <w:r>
      <w:rPr>
        <w:rFonts w:hint="eastAsia" w:ascii="微软雅黑" w:hAnsi="微软雅黑" w:eastAsia="微软雅黑" w:cs="微软雅黑"/>
        <w:kern w:val="0"/>
        <w:sz w:val="15"/>
        <w:szCs w:val="15"/>
        <w:u w:val="single"/>
        <w:lang w:val="en-US" w:eastAsia="zh-CN"/>
      </w:rPr>
      <w:t xml:space="preserve"> </w:t>
    </w:r>
    <w:r>
      <w:rPr>
        <w:rFonts w:hint="eastAsia" w:ascii="ËÎÌå" w:hAnsi="ËÎÌå" w:cs="ËÎÌå"/>
        <w:kern w:val="0"/>
        <w:sz w:val="21"/>
        <w:szCs w:val="21"/>
        <w:u w:val="single"/>
      </w:rPr>
      <w:t xml:space="preserve">          </w:t>
    </w:r>
    <w:r>
      <w:rPr>
        <w:rFonts w:hint="eastAsia" w:ascii="黑体" w:eastAsia="黑体"/>
        <w:spacing w:val="24"/>
        <w:sz w:val="28"/>
        <w:szCs w:val="28"/>
        <w:u w:val="single"/>
      </w:rPr>
      <w:t xml:space="preserve">                      </w:t>
    </w:r>
    <w:r>
      <w:rPr>
        <w:rFonts w:hint="eastAsia" w:ascii="宋体" w:hAnsi="宋体"/>
        <w:sz w:val="21"/>
        <w:szCs w:val="21"/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5C6BF"/>
    <w:multiLevelType w:val="multilevel"/>
    <w:tmpl w:val="92F5C6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pStyle w:val="5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EE1823E8"/>
    <w:multiLevelType w:val="multilevel"/>
    <w:tmpl w:val="EE1823E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  <w:color w:val="2E75B6" w:themeColor="accent1" w:themeShade="BF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微软雅黑" w:hAnsi="微软雅黑" w:eastAsia="微软雅黑" w:cs="微软雅黑"/>
        <w:color w:val="2E75B6" w:themeColor="accent1" w:themeShade="BF"/>
        <w:sz w:val="24"/>
        <w:szCs w:val="24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zZhNTNhMmU2YmI4ZWI1NDdjYzg5NjBhYmVkYjEifQ=="/>
  </w:docVars>
  <w:rsids>
    <w:rsidRoot w:val="00172A27"/>
    <w:rsid w:val="000C1FF9"/>
    <w:rsid w:val="00125861"/>
    <w:rsid w:val="0016760D"/>
    <w:rsid w:val="007B20C5"/>
    <w:rsid w:val="009C15CF"/>
    <w:rsid w:val="00A56A6C"/>
    <w:rsid w:val="00B4075E"/>
    <w:rsid w:val="00DC7C1D"/>
    <w:rsid w:val="00E25260"/>
    <w:rsid w:val="01395070"/>
    <w:rsid w:val="01635C49"/>
    <w:rsid w:val="01671BDD"/>
    <w:rsid w:val="016A5F88"/>
    <w:rsid w:val="017938C6"/>
    <w:rsid w:val="01831A44"/>
    <w:rsid w:val="019661C4"/>
    <w:rsid w:val="02025461"/>
    <w:rsid w:val="020E2058"/>
    <w:rsid w:val="02193C7F"/>
    <w:rsid w:val="02A23DC5"/>
    <w:rsid w:val="02D037B2"/>
    <w:rsid w:val="03113440"/>
    <w:rsid w:val="031A59A9"/>
    <w:rsid w:val="032920CF"/>
    <w:rsid w:val="03A45FC5"/>
    <w:rsid w:val="03D2624F"/>
    <w:rsid w:val="03D903C3"/>
    <w:rsid w:val="03E70DB3"/>
    <w:rsid w:val="03FE4A84"/>
    <w:rsid w:val="040A2CF3"/>
    <w:rsid w:val="044E1949"/>
    <w:rsid w:val="04616819"/>
    <w:rsid w:val="047368F3"/>
    <w:rsid w:val="04E86B91"/>
    <w:rsid w:val="04F36984"/>
    <w:rsid w:val="05091A55"/>
    <w:rsid w:val="050A007D"/>
    <w:rsid w:val="051522F5"/>
    <w:rsid w:val="052920C9"/>
    <w:rsid w:val="05350DCE"/>
    <w:rsid w:val="05487DA9"/>
    <w:rsid w:val="056D52E8"/>
    <w:rsid w:val="059756C6"/>
    <w:rsid w:val="05AE3D39"/>
    <w:rsid w:val="05F9115D"/>
    <w:rsid w:val="06136AFB"/>
    <w:rsid w:val="067E27BF"/>
    <w:rsid w:val="069D7C35"/>
    <w:rsid w:val="06AB6613"/>
    <w:rsid w:val="06D33870"/>
    <w:rsid w:val="06D82C35"/>
    <w:rsid w:val="070D6D82"/>
    <w:rsid w:val="070F22DC"/>
    <w:rsid w:val="075A189C"/>
    <w:rsid w:val="0776134C"/>
    <w:rsid w:val="07923653"/>
    <w:rsid w:val="079D72AE"/>
    <w:rsid w:val="07C136C9"/>
    <w:rsid w:val="07E52E94"/>
    <w:rsid w:val="0824483B"/>
    <w:rsid w:val="0840360E"/>
    <w:rsid w:val="085207C5"/>
    <w:rsid w:val="087D57CE"/>
    <w:rsid w:val="089E4AB6"/>
    <w:rsid w:val="09320D22"/>
    <w:rsid w:val="095D456F"/>
    <w:rsid w:val="097A6CE6"/>
    <w:rsid w:val="09F750BC"/>
    <w:rsid w:val="0A0371E4"/>
    <w:rsid w:val="0A725B65"/>
    <w:rsid w:val="0A9E7CF1"/>
    <w:rsid w:val="0ADD6A6C"/>
    <w:rsid w:val="0AF3628F"/>
    <w:rsid w:val="0B186B99"/>
    <w:rsid w:val="0B195D46"/>
    <w:rsid w:val="0B284210"/>
    <w:rsid w:val="0B70523B"/>
    <w:rsid w:val="0B8D51A5"/>
    <w:rsid w:val="0B9335CE"/>
    <w:rsid w:val="0BB579E9"/>
    <w:rsid w:val="0BE67BA2"/>
    <w:rsid w:val="0C913FB2"/>
    <w:rsid w:val="0CA23AC9"/>
    <w:rsid w:val="0CE045F1"/>
    <w:rsid w:val="0D126CD0"/>
    <w:rsid w:val="0D1B0927"/>
    <w:rsid w:val="0D437B86"/>
    <w:rsid w:val="0D780CCE"/>
    <w:rsid w:val="0D782A7C"/>
    <w:rsid w:val="0D8F6585"/>
    <w:rsid w:val="0DCB13F4"/>
    <w:rsid w:val="0DE10621"/>
    <w:rsid w:val="0E4B63E2"/>
    <w:rsid w:val="0E8F62CF"/>
    <w:rsid w:val="0EB87DB3"/>
    <w:rsid w:val="0ED143A4"/>
    <w:rsid w:val="0F087E2F"/>
    <w:rsid w:val="0F0F6660"/>
    <w:rsid w:val="0F3535B7"/>
    <w:rsid w:val="0F4C41C0"/>
    <w:rsid w:val="0FA37CB2"/>
    <w:rsid w:val="0FB754D2"/>
    <w:rsid w:val="0FC04BD8"/>
    <w:rsid w:val="0FE97C61"/>
    <w:rsid w:val="1025513D"/>
    <w:rsid w:val="107A0778"/>
    <w:rsid w:val="10854774"/>
    <w:rsid w:val="109F7E19"/>
    <w:rsid w:val="10B21D49"/>
    <w:rsid w:val="10BC5375"/>
    <w:rsid w:val="10DB2C49"/>
    <w:rsid w:val="118440E5"/>
    <w:rsid w:val="11936AB0"/>
    <w:rsid w:val="11B40DFE"/>
    <w:rsid w:val="12062999"/>
    <w:rsid w:val="12E7443B"/>
    <w:rsid w:val="1319306B"/>
    <w:rsid w:val="13420CA5"/>
    <w:rsid w:val="13AC7923"/>
    <w:rsid w:val="13BB6DB4"/>
    <w:rsid w:val="13C221FD"/>
    <w:rsid w:val="13D84274"/>
    <w:rsid w:val="13ED6D54"/>
    <w:rsid w:val="140959BA"/>
    <w:rsid w:val="14E90674"/>
    <w:rsid w:val="14F213EA"/>
    <w:rsid w:val="14F26405"/>
    <w:rsid w:val="152E5B98"/>
    <w:rsid w:val="158101CE"/>
    <w:rsid w:val="15AA6F86"/>
    <w:rsid w:val="15B71DCB"/>
    <w:rsid w:val="15D43799"/>
    <w:rsid w:val="15F01D49"/>
    <w:rsid w:val="15F61834"/>
    <w:rsid w:val="15FD70CC"/>
    <w:rsid w:val="16417A13"/>
    <w:rsid w:val="16442EAB"/>
    <w:rsid w:val="16726C02"/>
    <w:rsid w:val="16A37BE9"/>
    <w:rsid w:val="16A421AA"/>
    <w:rsid w:val="16BD7EC5"/>
    <w:rsid w:val="16BF6B65"/>
    <w:rsid w:val="16C64858"/>
    <w:rsid w:val="16FB7A96"/>
    <w:rsid w:val="17167E37"/>
    <w:rsid w:val="171C4DC0"/>
    <w:rsid w:val="17427BCC"/>
    <w:rsid w:val="18237F11"/>
    <w:rsid w:val="18A60DE5"/>
    <w:rsid w:val="18C43019"/>
    <w:rsid w:val="18E325EF"/>
    <w:rsid w:val="190331F6"/>
    <w:rsid w:val="19063631"/>
    <w:rsid w:val="191775ED"/>
    <w:rsid w:val="19371A3D"/>
    <w:rsid w:val="19584BB8"/>
    <w:rsid w:val="19BB08C0"/>
    <w:rsid w:val="19E85208"/>
    <w:rsid w:val="1A766595"/>
    <w:rsid w:val="1A9963FA"/>
    <w:rsid w:val="1A9C4535"/>
    <w:rsid w:val="1AB16D1F"/>
    <w:rsid w:val="1ABC669E"/>
    <w:rsid w:val="1B016BA8"/>
    <w:rsid w:val="1B1069E9"/>
    <w:rsid w:val="1B17319D"/>
    <w:rsid w:val="1B3A1986"/>
    <w:rsid w:val="1BB13D28"/>
    <w:rsid w:val="1BEA548C"/>
    <w:rsid w:val="1C4032FE"/>
    <w:rsid w:val="1C4675E8"/>
    <w:rsid w:val="1C4E77C9"/>
    <w:rsid w:val="1C7918F4"/>
    <w:rsid w:val="1C7A05BE"/>
    <w:rsid w:val="1C7D3C0B"/>
    <w:rsid w:val="1C88643E"/>
    <w:rsid w:val="1C944F1A"/>
    <w:rsid w:val="1CE4012E"/>
    <w:rsid w:val="1D17405F"/>
    <w:rsid w:val="1D2572EE"/>
    <w:rsid w:val="1D31023A"/>
    <w:rsid w:val="1D4E7035"/>
    <w:rsid w:val="1D9064C4"/>
    <w:rsid w:val="1D965DC8"/>
    <w:rsid w:val="1DB16ABC"/>
    <w:rsid w:val="1DD625CE"/>
    <w:rsid w:val="1DE657E0"/>
    <w:rsid w:val="1E0E387F"/>
    <w:rsid w:val="1E0E6FB0"/>
    <w:rsid w:val="1E2F6F40"/>
    <w:rsid w:val="1E467A0C"/>
    <w:rsid w:val="1E5B152D"/>
    <w:rsid w:val="1EC52EC2"/>
    <w:rsid w:val="1ED470A1"/>
    <w:rsid w:val="1EF7313B"/>
    <w:rsid w:val="1F212F73"/>
    <w:rsid w:val="1F313D83"/>
    <w:rsid w:val="1F3709E9"/>
    <w:rsid w:val="1F375C7D"/>
    <w:rsid w:val="1F395766"/>
    <w:rsid w:val="1F44144F"/>
    <w:rsid w:val="1FA3669D"/>
    <w:rsid w:val="1FAA6FC1"/>
    <w:rsid w:val="1FCA128A"/>
    <w:rsid w:val="1FE752C6"/>
    <w:rsid w:val="202076CF"/>
    <w:rsid w:val="202E02B7"/>
    <w:rsid w:val="2039253E"/>
    <w:rsid w:val="209854B7"/>
    <w:rsid w:val="209C3AC2"/>
    <w:rsid w:val="20BC50D1"/>
    <w:rsid w:val="216F0FDC"/>
    <w:rsid w:val="217C7F65"/>
    <w:rsid w:val="21BD198C"/>
    <w:rsid w:val="21E24426"/>
    <w:rsid w:val="2201172B"/>
    <w:rsid w:val="220A0B8A"/>
    <w:rsid w:val="22101B91"/>
    <w:rsid w:val="22341ABF"/>
    <w:rsid w:val="223E29CA"/>
    <w:rsid w:val="22525B39"/>
    <w:rsid w:val="229200CD"/>
    <w:rsid w:val="22BB36DF"/>
    <w:rsid w:val="22E744D4"/>
    <w:rsid w:val="22EC35F7"/>
    <w:rsid w:val="233A551A"/>
    <w:rsid w:val="23676543"/>
    <w:rsid w:val="23B030D8"/>
    <w:rsid w:val="23E61F8D"/>
    <w:rsid w:val="241D7CE7"/>
    <w:rsid w:val="24391394"/>
    <w:rsid w:val="24424BB7"/>
    <w:rsid w:val="24460256"/>
    <w:rsid w:val="24594F5D"/>
    <w:rsid w:val="24613E12"/>
    <w:rsid w:val="24C525F3"/>
    <w:rsid w:val="24E6661A"/>
    <w:rsid w:val="24FC63E6"/>
    <w:rsid w:val="25076963"/>
    <w:rsid w:val="250D61E7"/>
    <w:rsid w:val="25345930"/>
    <w:rsid w:val="258E25D7"/>
    <w:rsid w:val="25A4045A"/>
    <w:rsid w:val="25AB0DF5"/>
    <w:rsid w:val="25EE5B79"/>
    <w:rsid w:val="2609650F"/>
    <w:rsid w:val="26797B39"/>
    <w:rsid w:val="26873720"/>
    <w:rsid w:val="26A076A8"/>
    <w:rsid w:val="26AB17F3"/>
    <w:rsid w:val="26CB07D0"/>
    <w:rsid w:val="26F009DF"/>
    <w:rsid w:val="270311B0"/>
    <w:rsid w:val="27702CEA"/>
    <w:rsid w:val="279E3DEE"/>
    <w:rsid w:val="27A2091D"/>
    <w:rsid w:val="27DE3343"/>
    <w:rsid w:val="27E21523"/>
    <w:rsid w:val="27E534A0"/>
    <w:rsid w:val="27F51441"/>
    <w:rsid w:val="280827E6"/>
    <w:rsid w:val="28247630"/>
    <w:rsid w:val="28286F84"/>
    <w:rsid w:val="28683AFD"/>
    <w:rsid w:val="288E2E94"/>
    <w:rsid w:val="28A349F9"/>
    <w:rsid w:val="28CF53DB"/>
    <w:rsid w:val="29001E4B"/>
    <w:rsid w:val="290851A4"/>
    <w:rsid w:val="29283150"/>
    <w:rsid w:val="293E7C9D"/>
    <w:rsid w:val="297840D8"/>
    <w:rsid w:val="298E32BC"/>
    <w:rsid w:val="29DF191C"/>
    <w:rsid w:val="29E16205"/>
    <w:rsid w:val="2AA65F94"/>
    <w:rsid w:val="2AF0488D"/>
    <w:rsid w:val="2B1D4F24"/>
    <w:rsid w:val="2B42499D"/>
    <w:rsid w:val="2B485D2C"/>
    <w:rsid w:val="2B5C4588"/>
    <w:rsid w:val="2B792842"/>
    <w:rsid w:val="2B830B12"/>
    <w:rsid w:val="2B8313B8"/>
    <w:rsid w:val="2BA528E8"/>
    <w:rsid w:val="2BCC4267"/>
    <w:rsid w:val="2C022949"/>
    <w:rsid w:val="2C097269"/>
    <w:rsid w:val="2C2979A4"/>
    <w:rsid w:val="2C3F712F"/>
    <w:rsid w:val="2C666469"/>
    <w:rsid w:val="2C671545"/>
    <w:rsid w:val="2CB5568D"/>
    <w:rsid w:val="2CBC035B"/>
    <w:rsid w:val="2CD53D30"/>
    <w:rsid w:val="2D104627"/>
    <w:rsid w:val="2D5A445D"/>
    <w:rsid w:val="2D6B66E6"/>
    <w:rsid w:val="2D825A1F"/>
    <w:rsid w:val="2D8F55D6"/>
    <w:rsid w:val="2DE06617"/>
    <w:rsid w:val="2DE866C0"/>
    <w:rsid w:val="2E4E643A"/>
    <w:rsid w:val="2E7A04EE"/>
    <w:rsid w:val="2E7E7DAE"/>
    <w:rsid w:val="2E9025B2"/>
    <w:rsid w:val="2EC540EE"/>
    <w:rsid w:val="2ED923B6"/>
    <w:rsid w:val="2EF7205F"/>
    <w:rsid w:val="2F0D7070"/>
    <w:rsid w:val="2F7B222C"/>
    <w:rsid w:val="2FDA232E"/>
    <w:rsid w:val="2FDA5A18"/>
    <w:rsid w:val="2FEA5603"/>
    <w:rsid w:val="30071D11"/>
    <w:rsid w:val="301A5DCD"/>
    <w:rsid w:val="301B0825"/>
    <w:rsid w:val="30424952"/>
    <w:rsid w:val="30473D9F"/>
    <w:rsid w:val="30560C77"/>
    <w:rsid w:val="305E1E14"/>
    <w:rsid w:val="306D0456"/>
    <w:rsid w:val="30732B88"/>
    <w:rsid w:val="30872E52"/>
    <w:rsid w:val="30BE10FC"/>
    <w:rsid w:val="30C74740"/>
    <w:rsid w:val="30CE6945"/>
    <w:rsid w:val="311F248A"/>
    <w:rsid w:val="31304723"/>
    <w:rsid w:val="31626879"/>
    <w:rsid w:val="3183367D"/>
    <w:rsid w:val="319A3548"/>
    <w:rsid w:val="31DC74C4"/>
    <w:rsid w:val="3212499D"/>
    <w:rsid w:val="32343DDF"/>
    <w:rsid w:val="32747406"/>
    <w:rsid w:val="32766A06"/>
    <w:rsid w:val="329F3DDE"/>
    <w:rsid w:val="32B17669"/>
    <w:rsid w:val="32DC5AA9"/>
    <w:rsid w:val="32FC6FCE"/>
    <w:rsid w:val="3364747B"/>
    <w:rsid w:val="33661172"/>
    <w:rsid w:val="336E20A7"/>
    <w:rsid w:val="33704071"/>
    <w:rsid w:val="33EC61A4"/>
    <w:rsid w:val="34322972"/>
    <w:rsid w:val="345309D9"/>
    <w:rsid w:val="34930017"/>
    <w:rsid w:val="34EA6F4D"/>
    <w:rsid w:val="35101F43"/>
    <w:rsid w:val="35310628"/>
    <w:rsid w:val="35446C9F"/>
    <w:rsid w:val="35772060"/>
    <w:rsid w:val="359E01CA"/>
    <w:rsid w:val="36054F45"/>
    <w:rsid w:val="36137470"/>
    <w:rsid w:val="365F4CCA"/>
    <w:rsid w:val="3684373A"/>
    <w:rsid w:val="36BF3845"/>
    <w:rsid w:val="36EE3C2B"/>
    <w:rsid w:val="370F76FD"/>
    <w:rsid w:val="37123819"/>
    <w:rsid w:val="37265CCD"/>
    <w:rsid w:val="37321D6A"/>
    <w:rsid w:val="37367CB7"/>
    <w:rsid w:val="37495DD7"/>
    <w:rsid w:val="37661BAB"/>
    <w:rsid w:val="376712E7"/>
    <w:rsid w:val="37A574BC"/>
    <w:rsid w:val="37E42938"/>
    <w:rsid w:val="37F7493E"/>
    <w:rsid w:val="38765C86"/>
    <w:rsid w:val="38A8605B"/>
    <w:rsid w:val="38BB5D8F"/>
    <w:rsid w:val="391D25A6"/>
    <w:rsid w:val="39303A7B"/>
    <w:rsid w:val="394B73E4"/>
    <w:rsid w:val="39510D4E"/>
    <w:rsid w:val="395A54B7"/>
    <w:rsid w:val="396E1053"/>
    <w:rsid w:val="397B6B45"/>
    <w:rsid w:val="399F15E3"/>
    <w:rsid w:val="3A54022F"/>
    <w:rsid w:val="3A8E35B5"/>
    <w:rsid w:val="3A9C1BB8"/>
    <w:rsid w:val="3AD30819"/>
    <w:rsid w:val="3AEE244B"/>
    <w:rsid w:val="3B163750"/>
    <w:rsid w:val="3B4772CC"/>
    <w:rsid w:val="3B62604B"/>
    <w:rsid w:val="3B653D90"/>
    <w:rsid w:val="3BB67B55"/>
    <w:rsid w:val="3BDF7FE6"/>
    <w:rsid w:val="3C7D493C"/>
    <w:rsid w:val="3CA134EE"/>
    <w:rsid w:val="3CA765F9"/>
    <w:rsid w:val="3CC55D91"/>
    <w:rsid w:val="3CDD5EC7"/>
    <w:rsid w:val="3CE6554F"/>
    <w:rsid w:val="3D066E00"/>
    <w:rsid w:val="3D1073EF"/>
    <w:rsid w:val="3D5B441A"/>
    <w:rsid w:val="3D695DB9"/>
    <w:rsid w:val="3D6D517E"/>
    <w:rsid w:val="3D8C7CFA"/>
    <w:rsid w:val="3DAA4695"/>
    <w:rsid w:val="3DDB0137"/>
    <w:rsid w:val="3DDE7EA3"/>
    <w:rsid w:val="3DFD1C7D"/>
    <w:rsid w:val="3E576F63"/>
    <w:rsid w:val="3E864749"/>
    <w:rsid w:val="3EC84130"/>
    <w:rsid w:val="3EDC6A5F"/>
    <w:rsid w:val="3EE53B65"/>
    <w:rsid w:val="3F0163B3"/>
    <w:rsid w:val="3F047743"/>
    <w:rsid w:val="3F185CE9"/>
    <w:rsid w:val="3F3D656D"/>
    <w:rsid w:val="3F3F621E"/>
    <w:rsid w:val="3F5C40FE"/>
    <w:rsid w:val="3FB672B0"/>
    <w:rsid w:val="3FD06672"/>
    <w:rsid w:val="400105AF"/>
    <w:rsid w:val="40640ABA"/>
    <w:rsid w:val="407A208B"/>
    <w:rsid w:val="408D060C"/>
    <w:rsid w:val="40AD2461"/>
    <w:rsid w:val="40EE3E7E"/>
    <w:rsid w:val="41156A89"/>
    <w:rsid w:val="411C6723"/>
    <w:rsid w:val="418036D2"/>
    <w:rsid w:val="41A24AFA"/>
    <w:rsid w:val="41C619F5"/>
    <w:rsid w:val="41C640F9"/>
    <w:rsid w:val="41DD28D2"/>
    <w:rsid w:val="41E15664"/>
    <w:rsid w:val="41E2260D"/>
    <w:rsid w:val="428202D6"/>
    <w:rsid w:val="42882167"/>
    <w:rsid w:val="429A4C67"/>
    <w:rsid w:val="42DE2DA6"/>
    <w:rsid w:val="433C2844"/>
    <w:rsid w:val="434B12A1"/>
    <w:rsid w:val="43500533"/>
    <w:rsid w:val="4356105B"/>
    <w:rsid w:val="43654385"/>
    <w:rsid w:val="43664B49"/>
    <w:rsid w:val="438E092F"/>
    <w:rsid w:val="43903D02"/>
    <w:rsid w:val="439A528D"/>
    <w:rsid w:val="44221460"/>
    <w:rsid w:val="44231FA6"/>
    <w:rsid w:val="442A5AAE"/>
    <w:rsid w:val="444159CF"/>
    <w:rsid w:val="448C23F3"/>
    <w:rsid w:val="44B139CE"/>
    <w:rsid w:val="44D23AE5"/>
    <w:rsid w:val="44D53D34"/>
    <w:rsid w:val="4500354B"/>
    <w:rsid w:val="451D0E57"/>
    <w:rsid w:val="451D2011"/>
    <w:rsid w:val="453F5652"/>
    <w:rsid w:val="45A33E32"/>
    <w:rsid w:val="45AA3413"/>
    <w:rsid w:val="45CC15DB"/>
    <w:rsid w:val="45D32794"/>
    <w:rsid w:val="45EE2DEC"/>
    <w:rsid w:val="45F14689"/>
    <w:rsid w:val="45F96148"/>
    <w:rsid w:val="4601102B"/>
    <w:rsid w:val="461036EB"/>
    <w:rsid w:val="463352C3"/>
    <w:rsid w:val="4646138E"/>
    <w:rsid w:val="469D2F78"/>
    <w:rsid w:val="46D91711"/>
    <w:rsid w:val="46EE5581"/>
    <w:rsid w:val="47222150"/>
    <w:rsid w:val="473C453F"/>
    <w:rsid w:val="475B6105"/>
    <w:rsid w:val="477B47A8"/>
    <w:rsid w:val="479E5105"/>
    <w:rsid w:val="47AF4671"/>
    <w:rsid w:val="47C80AE3"/>
    <w:rsid w:val="47D01130"/>
    <w:rsid w:val="48102525"/>
    <w:rsid w:val="481B5D92"/>
    <w:rsid w:val="48265822"/>
    <w:rsid w:val="484C4E50"/>
    <w:rsid w:val="486C23FB"/>
    <w:rsid w:val="48CC011E"/>
    <w:rsid w:val="48D10CB7"/>
    <w:rsid w:val="48FF5824"/>
    <w:rsid w:val="49060DC5"/>
    <w:rsid w:val="490E3CB9"/>
    <w:rsid w:val="491D3EFC"/>
    <w:rsid w:val="493A2D00"/>
    <w:rsid w:val="49514DC1"/>
    <w:rsid w:val="496B4C67"/>
    <w:rsid w:val="498434BD"/>
    <w:rsid w:val="49D73576"/>
    <w:rsid w:val="4A0B11F7"/>
    <w:rsid w:val="4A346D01"/>
    <w:rsid w:val="4A742241"/>
    <w:rsid w:val="4A835FE1"/>
    <w:rsid w:val="4AB02A80"/>
    <w:rsid w:val="4ABB577A"/>
    <w:rsid w:val="4AF83094"/>
    <w:rsid w:val="4B2C72E0"/>
    <w:rsid w:val="4B4734B2"/>
    <w:rsid w:val="4B47620D"/>
    <w:rsid w:val="4B877997"/>
    <w:rsid w:val="4B952C62"/>
    <w:rsid w:val="4BA40904"/>
    <w:rsid w:val="4BB01506"/>
    <w:rsid w:val="4BDE3E16"/>
    <w:rsid w:val="4BE15060"/>
    <w:rsid w:val="4BF749EC"/>
    <w:rsid w:val="4C1E06B7"/>
    <w:rsid w:val="4C3677AE"/>
    <w:rsid w:val="4C3C28EB"/>
    <w:rsid w:val="4C883D82"/>
    <w:rsid w:val="4CCE3E46"/>
    <w:rsid w:val="4CED6262"/>
    <w:rsid w:val="4D2056C1"/>
    <w:rsid w:val="4D331F40"/>
    <w:rsid w:val="4D355CB8"/>
    <w:rsid w:val="4D50664E"/>
    <w:rsid w:val="4D5B4FF3"/>
    <w:rsid w:val="4D6F19C0"/>
    <w:rsid w:val="4D7A7B6F"/>
    <w:rsid w:val="4D7E6648"/>
    <w:rsid w:val="4D9B031E"/>
    <w:rsid w:val="4DA62712"/>
    <w:rsid w:val="4DE4323A"/>
    <w:rsid w:val="4E2127BB"/>
    <w:rsid w:val="4E327A58"/>
    <w:rsid w:val="4E45017D"/>
    <w:rsid w:val="4E830CA5"/>
    <w:rsid w:val="4E872543"/>
    <w:rsid w:val="4EA200AD"/>
    <w:rsid w:val="4EE00D0F"/>
    <w:rsid w:val="4EE572EE"/>
    <w:rsid w:val="4EF83441"/>
    <w:rsid w:val="4F99788D"/>
    <w:rsid w:val="4FBC446F"/>
    <w:rsid w:val="4FD10ADB"/>
    <w:rsid w:val="50390119"/>
    <w:rsid w:val="504A7CCC"/>
    <w:rsid w:val="505D7058"/>
    <w:rsid w:val="50BB2978"/>
    <w:rsid w:val="50BC224C"/>
    <w:rsid w:val="50DD6045"/>
    <w:rsid w:val="510E0CFA"/>
    <w:rsid w:val="510F1E1F"/>
    <w:rsid w:val="512241D6"/>
    <w:rsid w:val="513B006C"/>
    <w:rsid w:val="514C35D0"/>
    <w:rsid w:val="51873ED8"/>
    <w:rsid w:val="51EB5226"/>
    <w:rsid w:val="527506C8"/>
    <w:rsid w:val="52754DA9"/>
    <w:rsid w:val="52764DCD"/>
    <w:rsid w:val="529671F9"/>
    <w:rsid w:val="52FD47A3"/>
    <w:rsid w:val="531B5950"/>
    <w:rsid w:val="533644FE"/>
    <w:rsid w:val="536966BB"/>
    <w:rsid w:val="53874D93"/>
    <w:rsid w:val="53D77AC9"/>
    <w:rsid w:val="5406350B"/>
    <w:rsid w:val="543372E6"/>
    <w:rsid w:val="54353C60"/>
    <w:rsid w:val="54D97871"/>
    <w:rsid w:val="5524472E"/>
    <w:rsid w:val="55256612"/>
    <w:rsid w:val="5536081F"/>
    <w:rsid w:val="553920BD"/>
    <w:rsid w:val="555E3956"/>
    <w:rsid w:val="55647052"/>
    <w:rsid w:val="556E7FB9"/>
    <w:rsid w:val="559429E6"/>
    <w:rsid w:val="55D50038"/>
    <w:rsid w:val="55F776C3"/>
    <w:rsid w:val="560146BF"/>
    <w:rsid w:val="561D19BC"/>
    <w:rsid w:val="562763BA"/>
    <w:rsid w:val="563866AF"/>
    <w:rsid w:val="563F60B4"/>
    <w:rsid w:val="56521E57"/>
    <w:rsid w:val="565C42B5"/>
    <w:rsid w:val="56A415B7"/>
    <w:rsid w:val="56C635D8"/>
    <w:rsid w:val="56C84614"/>
    <w:rsid w:val="56D24578"/>
    <w:rsid w:val="56F568B5"/>
    <w:rsid w:val="570E5DBC"/>
    <w:rsid w:val="571702AF"/>
    <w:rsid w:val="572B4CD4"/>
    <w:rsid w:val="575267EE"/>
    <w:rsid w:val="576966DF"/>
    <w:rsid w:val="577E3E83"/>
    <w:rsid w:val="579429DF"/>
    <w:rsid w:val="57C32112"/>
    <w:rsid w:val="57EF1159"/>
    <w:rsid w:val="589E6E07"/>
    <w:rsid w:val="58A17895"/>
    <w:rsid w:val="58C22BA7"/>
    <w:rsid w:val="58D563BF"/>
    <w:rsid w:val="59142A73"/>
    <w:rsid w:val="591E5852"/>
    <w:rsid w:val="59534961"/>
    <w:rsid w:val="59594D77"/>
    <w:rsid w:val="596E36DD"/>
    <w:rsid w:val="596F21A7"/>
    <w:rsid w:val="597D4C6F"/>
    <w:rsid w:val="597E7408"/>
    <w:rsid w:val="599328C7"/>
    <w:rsid w:val="59AA4754"/>
    <w:rsid w:val="59BB60BB"/>
    <w:rsid w:val="59C57D92"/>
    <w:rsid w:val="59FB79D6"/>
    <w:rsid w:val="5A1E1882"/>
    <w:rsid w:val="5A6306C2"/>
    <w:rsid w:val="5A7140A7"/>
    <w:rsid w:val="5A902780"/>
    <w:rsid w:val="5AA4447D"/>
    <w:rsid w:val="5AA956E4"/>
    <w:rsid w:val="5AB52C6E"/>
    <w:rsid w:val="5AE66844"/>
    <w:rsid w:val="5B341639"/>
    <w:rsid w:val="5B4A6DD2"/>
    <w:rsid w:val="5B57329D"/>
    <w:rsid w:val="5B8619FD"/>
    <w:rsid w:val="5B8C5087"/>
    <w:rsid w:val="5B8E1895"/>
    <w:rsid w:val="5BBA6405"/>
    <w:rsid w:val="5BD14DFE"/>
    <w:rsid w:val="5C060FB3"/>
    <w:rsid w:val="5C0E026E"/>
    <w:rsid w:val="5C4A1859"/>
    <w:rsid w:val="5C583AA6"/>
    <w:rsid w:val="5C9122C7"/>
    <w:rsid w:val="5C957123"/>
    <w:rsid w:val="5CA42512"/>
    <w:rsid w:val="5CA6628A"/>
    <w:rsid w:val="5CE62855"/>
    <w:rsid w:val="5CE67C21"/>
    <w:rsid w:val="5CF7477D"/>
    <w:rsid w:val="5D3264E1"/>
    <w:rsid w:val="5D3A4C25"/>
    <w:rsid w:val="5D7C523D"/>
    <w:rsid w:val="5D804D2D"/>
    <w:rsid w:val="5D825803"/>
    <w:rsid w:val="5D883773"/>
    <w:rsid w:val="5DC015CE"/>
    <w:rsid w:val="5DEC21C1"/>
    <w:rsid w:val="5E203E1A"/>
    <w:rsid w:val="5E527AD2"/>
    <w:rsid w:val="5E565A8E"/>
    <w:rsid w:val="5E5F7F5A"/>
    <w:rsid w:val="5EB91C34"/>
    <w:rsid w:val="5F2E6A0B"/>
    <w:rsid w:val="5F385194"/>
    <w:rsid w:val="6006363E"/>
    <w:rsid w:val="60341DFF"/>
    <w:rsid w:val="603E19FB"/>
    <w:rsid w:val="606721D5"/>
    <w:rsid w:val="608A21D4"/>
    <w:rsid w:val="608F34D9"/>
    <w:rsid w:val="609C6C90"/>
    <w:rsid w:val="60AC5E39"/>
    <w:rsid w:val="60CE5DB0"/>
    <w:rsid w:val="60E43825"/>
    <w:rsid w:val="60FE457C"/>
    <w:rsid w:val="6112169D"/>
    <w:rsid w:val="614F151E"/>
    <w:rsid w:val="616C4A02"/>
    <w:rsid w:val="61954B1F"/>
    <w:rsid w:val="61B01959"/>
    <w:rsid w:val="61C67161"/>
    <w:rsid w:val="61E0223F"/>
    <w:rsid w:val="620C4F07"/>
    <w:rsid w:val="622E7666"/>
    <w:rsid w:val="624C383B"/>
    <w:rsid w:val="627E7362"/>
    <w:rsid w:val="628E1212"/>
    <w:rsid w:val="62A019CE"/>
    <w:rsid w:val="62E62402"/>
    <w:rsid w:val="630A5BBD"/>
    <w:rsid w:val="631449FE"/>
    <w:rsid w:val="638A29C9"/>
    <w:rsid w:val="641E704E"/>
    <w:rsid w:val="642F4DB7"/>
    <w:rsid w:val="644E148D"/>
    <w:rsid w:val="64591E34"/>
    <w:rsid w:val="64610CE9"/>
    <w:rsid w:val="64750AFA"/>
    <w:rsid w:val="647A4698"/>
    <w:rsid w:val="64923598"/>
    <w:rsid w:val="64AC465A"/>
    <w:rsid w:val="64C61104"/>
    <w:rsid w:val="651B17E0"/>
    <w:rsid w:val="65406110"/>
    <w:rsid w:val="655D6F80"/>
    <w:rsid w:val="65AE4402"/>
    <w:rsid w:val="65C14135"/>
    <w:rsid w:val="65CD41F4"/>
    <w:rsid w:val="65DD1A17"/>
    <w:rsid w:val="66415276"/>
    <w:rsid w:val="667C4B8E"/>
    <w:rsid w:val="670B7CEB"/>
    <w:rsid w:val="67220C6C"/>
    <w:rsid w:val="673D0ACD"/>
    <w:rsid w:val="67537230"/>
    <w:rsid w:val="675D047E"/>
    <w:rsid w:val="6775489D"/>
    <w:rsid w:val="678D65EE"/>
    <w:rsid w:val="67D55C76"/>
    <w:rsid w:val="68721700"/>
    <w:rsid w:val="688A4CB2"/>
    <w:rsid w:val="68995B41"/>
    <w:rsid w:val="68C2701F"/>
    <w:rsid w:val="696E0FB2"/>
    <w:rsid w:val="69780E10"/>
    <w:rsid w:val="697B45FB"/>
    <w:rsid w:val="69A9608F"/>
    <w:rsid w:val="69F66F81"/>
    <w:rsid w:val="6A3D3FA6"/>
    <w:rsid w:val="6A486BD3"/>
    <w:rsid w:val="6A6509CD"/>
    <w:rsid w:val="6A9C0A00"/>
    <w:rsid w:val="6AAF6C52"/>
    <w:rsid w:val="6ABC136F"/>
    <w:rsid w:val="6AEB0161"/>
    <w:rsid w:val="6AF91C7B"/>
    <w:rsid w:val="6B594E10"/>
    <w:rsid w:val="6B881251"/>
    <w:rsid w:val="6BA3608B"/>
    <w:rsid w:val="6BBB1626"/>
    <w:rsid w:val="6C0178D6"/>
    <w:rsid w:val="6C05211B"/>
    <w:rsid w:val="6C07661A"/>
    <w:rsid w:val="6C1D408F"/>
    <w:rsid w:val="6C344367"/>
    <w:rsid w:val="6C4A0EAE"/>
    <w:rsid w:val="6C950273"/>
    <w:rsid w:val="6C986334"/>
    <w:rsid w:val="6CA4030D"/>
    <w:rsid w:val="6CA420BB"/>
    <w:rsid w:val="6CF07F5B"/>
    <w:rsid w:val="6CF62EDC"/>
    <w:rsid w:val="6D074655"/>
    <w:rsid w:val="6D1B05CF"/>
    <w:rsid w:val="6D3F139D"/>
    <w:rsid w:val="6D7165A7"/>
    <w:rsid w:val="6D763250"/>
    <w:rsid w:val="6D7E0B5E"/>
    <w:rsid w:val="6D8070C4"/>
    <w:rsid w:val="6DD8026E"/>
    <w:rsid w:val="6DDE6F0D"/>
    <w:rsid w:val="6DEF7365"/>
    <w:rsid w:val="6DF10C44"/>
    <w:rsid w:val="6DFE5138"/>
    <w:rsid w:val="6E0C021B"/>
    <w:rsid w:val="6E2F4EDD"/>
    <w:rsid w:val="6E5416F9"/>
    <w:rsid w:val="6E7F17EC"/>
    <w:rsid w:val="6E983DCC"/>
    <w:rsid w:val="6EA13C00"/>
    <w:rsid w:val="6F567256"/>
    <w:rsid w:val="6F6A0AEB"/>
    <w:rsid w:val="6F6F075E"/>
    <w:rsid w:val="6F984159"/>
    <w:rsid w:val="6F9D368A"/>
    <w:rsid w:val="6F9F3CF4"/>
    <w:rsid w:val="6FBE35A8"/>
    <w:rsid w:val="6FE32EFA"/>
    <w:rsid w:val="701A2DBF"/>
    <w:rsid w:val="7026451A"/>
    <w:rsid w:val="70487263"/>
    <w:rsid w:val="7076081A"/>
    <w:rsid w:val="707E6C83"/>
    <w:rsid w:val="7094624E"/>
    <w:rsid w:val="70A95EF1"/>
    <w:rsid w:val="70AE17AD"/>
    <w:rsid w:val="70F25AEA"/>
    <w:rsid w:val="70F42FCF"/>
    <w:rsid w:val="71062461"/>
    <w:rsid w:val="7109556A"/>
    <w:rsid w:val="71267542"/>
    <w:rsid w:val="714A60B5"/>
    <w:rsid w:val="714F6A99"/>
    <w:rsid w:val="718801FD"/>
    <w:rsid w:val="7190176D"/>
    <w:rsid w:val="71EE3A69"/>
    <w:rsid w:val="72451C4A"/>
    <w:rsid w:val="726050B6"/>
    <w:rsid w:val="72AC3A77"/>
    <w:rsid w:val="72E41CA5"/>
    <w:rsid w:val="72E66F89"/>
    <w:rsid w:val="72FC7376"/>
    <w:rsid w:val="73076EFF"/>
    <w:rsid w:val="736D76AA"/>
    <w:rsid w:val="73A62BBC"/>
    <w:rsid w:val="73B549A6"/>
    <w:rsid w:val="73ED64E2"/>
    <w:rsid w:val="74207BD8"/>
    <w:rsid w:val="743E3C4A"/>
    <w:rsid w:val="745B3786"/>
    <w:rsid w:val="745E5245"/>
    <w:rsid w:val="74704F19"/>
    <w:rsid w:val="74827185"/>
    <w:rsid w:val="748661C0"/>
    <w:rsid w:val="749B5C86"/>
    <w:rsid w:val="74BD01BD"/>
    <w:rsid w:val="74ED269D"/>
    <w:rsid w:val="74F17E67"/>
    <w:rsid w:val="74F94C5F"/>
    <w:rsid w:val="75287E4E"/>
    <w:rsid w:val="75575F1C"/>
    <w:rsid w:val="75656237"/>
    <w:rsid w:val="757D4D9B"/>
    <w:rsid w:val="759E3B4B"/>
    <w:rsid w:val="75A241B6"/>
    <w:rsid w:val="75AE172A"/>
    <w:rsid w:val="75B15FA4"/>
    <w:rsid w:val="75B35B93"/>
    <w:rsid w:val="75DD74BC"/>
    <w:rsid w:val="75E65786"/>
    <w:rsid w:val="761E4C8C"/>
    <w:rsid w:val="76202F8E"/>
    <w:rsid w:val="769211D6"/>
    <w:rsid w:val="769767EC"/>
    <w:rsid w:val="769A6217"/>
    <w:rsid w:val="76BB697E"/>
    <w:rsid w:val="76D96E05"/>
    <w:rsid w:val="774353DC"/>
    <w:rsid w:val="776E1DB2"/>
    <w:rsid w:val="7771226C"/>
    <w:rsid w:val="77C66DF3"/>
    <w:rsid w:val="7817317E"/>
    <w:rsid w:val="782D3D0B"/>
    <w:rsid w:val="7885648D"/>
    <w:rsid w:val="78917997"/>
    <w:rsid w:val="78B67C13"/>
    <w:rsid w:val="78EE3B3A"/>
    <w:rsid w:val="78F543CA"/>
    <w:rsid w:val="791B3704"/>
    <w:rsid w:val="7925117C"/>
    <w:rsid w:val="792C3B64"/>
    <w:rsid w:val="79607369"/>
    <w:rsid w:val="796C2BD8"/>
    <w:rsid w:val="798A2EAF"/>
    <w:rsid w:val="79B002F1"/>
    <w:rsid w:val="79C3066B"/>
    <w:rsid w:val="79D7762B"/>
    <w:rsid w:val="79DC0F2B"/>
    <w:rsid w:val="7A24483B"/>
    <w:rsid w:val="7A511B1E"/>
    <w:rsid w:val="7A643075"/>
    <w:rsid w:val="7A995A34"/>
    <w:rsid w:val="7AA864AE"/>
    <w:rsid w:val="7AEE7323"/>
    <w:rsid w:val="7AF169F9"/>
    <w:rsid w:val="7B017E0B"/>
    <w:rsid w:val="7B1972A4"/>
    <w:rsid w:val="7B454143"/>
    <w:rsid w:val="7B802A7C"/>
    <w:rsid w:val="7BAD0F8C"/>
    <w:rsid w:val="7BCD0AE7"/>
    <w:rsid w:val="7BE81FC4"/>
    <w:rsid w:val="7BF42EE8"/>
    <w:rsid w:val="7C1A44EB"/>
    <w:rsid w:val="7C2917B6"/>
    <w:rsid w:val="7C605FFE"/>
    <w:rsid w:val="7C743857"/>
    <w:rsid w:val="7CC10027"/>
    <w:rsid w:val="7D084270"/>
    <w:rsid w:val="7D1D4579"/>
    <w:rsid w:val="7D2F142F"/>
    <w:rsid w:val="7D436E87"/>
    <w:rsid w:val="7D4C6582"/>
    <w:rsid w:val="7D52785B"/>
    <w:rsid w:val="7D90323E"/>
    <w:rsid w:val="7D910D10"/>
    <w:rsid w:val="7DFD787D"/>
    <w:rsid w:val="7E01736D"/>
    <w:rsid w:val="7E2D0162"/>
    <w:rsid w:val="7E4516D8"/>
    <w:rsid w:val="7E941F8F"/>
    <w:rsid w:val="7E9F67E9"/>
    <w:rsid w:val="7EBE0C9D"/>
    <w:rsid w:val="7EF26CB5"/>
    <w:rsid w:val="7FF07699"/>
    <w:rsid w:val="7F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firstLine="0"/>
      <w:jc w:val="left"/>
      <w:outlineLvl w:val="0"/>
    </w:pPr>
    <w:rPr>
      <w:rFonts w:ascii="黑体" w:hAnsi="黑体"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/>
      <w:jc w:val="left"/>
      <w:outlineLvl w:val="1"/>
    </w:pPr>
    <w:rPr>
      <w:rFonts w:ascii="黑体" w:hAnsi="黑体" w:eastAsia="黑体"/>
      <w:b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240" w:lineRule="auto"/>
      <w:jc w:val="left"/>
      <w:outlineLvl w:val="2"/>
    </w:pPr>
    <w:rPr>
      <w:rFonts w:ascii="宋体" w:hAnsi="宋体"/>
      <w:b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numPr>
        <w:ilvl w:val="2"/>
        <w:numId w:val="2"/>
      </w:numPr>
      <w:spacing w:before="280" w:beforeLines="0" w:beforeAutospacing="0" w:after="290" w:afterLines="0" w:afterAutospacing="0" w:line="240" w:lineRule="auto"/>
      <w:ind w:left="0" w:leftChars="100" w:firstLine="402"/>
      <w:outlineLvl w:val="3"/>
    </w:pPr>
    <w:rPr>
      <w:rFonts w:ascii="宋体" w:hAnsi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customStyle="1" w:styleId="23">
    <w:name w:val="标题 3 Char"/>
    <w:link w:val="4"/>
    <w:qFormat/>
    <w:uiPriority w:val="0"/>
    <w:rPr>
      <w:rFonts w:ascii="宋体" w:hAnsi="宋体" w:eastAsia="宋体"/>
      <w:b/>
      <w:sz w:val="24"/>
    </w:rPr>
  </w:style>
  <w:style w:type="character" w:customStyle="1" w:styleId="24">
    <w:name w:val="标题 4 Char"/>
    <w:link w:val="5"/>
    <w:qFormat/>
    <w:uiPriority w:val="0"/>
    <w:rPr>
      <w:rFonts w:ascii="宋体" w:hAnsi="宋体" w:eastAsia="宋体"/>
      <w:b/>
    </w:rPr>
  </w:style>
  <w:style w:type="paragraph" w:customStyle="1" w:styleId="2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7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8">
    <w:name w:val="fontstyle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9">
    <w:name w:val="fontstyle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4493</Words>
  <Characters>6711</Characters>
  <Lines>0</Lines>
  <Paragraphs>0</Paragraphs>
  <TotalTime>1</TotalTime>
  <ScaleCrop>false</ScaleCrop>
  <LinksUpToDate>false</LinksUpToDate>
  <CharactersWithSpaces>7512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2021-11-03T02:50:00Z</dcterms:created>
  <dc:creator>rickliu</dc:creator>
  <cp:lastModifiedBy>诺卡</cp:lastModifiedBy>
  <dcterms:modified xsi:type="dcterms:W3CDTF">2023-01-11T03:12:42Z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ACA0EF0B374C4951B8E0F9787CBCB6D3</vt:lpwstr>
  </property>
</Properties>
</file>